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79" w:rsidRPr="00304B34" w:rsidRDefault="002B5DEA" w:rsidP="00304B34">
      <w:pPr>
        <w:tabs>
          <w:tab w:val="left" w:pos="-720"/>
          <w:tab w:val="right" w:leader="dot" w:pos="9639"/>
        </w:tabs>
        <w:suppressAutoHyphens/>
        <w:rPr>
          <w:rFonts w:asciiTheme="minorHAnsi" w:hAnsiTheme="minorHAnsi"/>
          <w:spacing w:val="-3"/>
        </w:rPr>
      </w:pPr>
      <w:r w:rsidRPr="002B5DEA">
        <w:rPr>
          <w:rFonts w:asciiTheme="minorHAnsi" w:hAnsiTheme="minorHAnsi"/>
          <w:spacing w:val="-3"/>
        </w:rPr>
        <w:drawing>
          <wp:inline distT="0" distB="0" distL="0" distR="0">
            <wp:extent cx="625540" cy="619125"/>
            <wp:effectExtent l="19050" t="0" r="311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6962" cy="620532"/>
                    </a:xfrm>
                    <a:prstGeom prst="rect">
                      <a:avLst/>
                    </a:prstGeom>
                    <a:noFill/>
                    <a:ln w="9525">
                      <a:noFill/>
                      <a:miter lim="800000"/>
                      <a:headEnd/>
                      <a:tailEnd/>
                    </a:ln>
                  </pic:spPr>
                </pic:pic>
              </a:graphicData>
            </a:graphic>
          </wp:inline>
        </w:drawing>
      </w:r>
    </w:p>
    <w:p w:rsidR="00304B34" w:rsidRPr="00304B34" w:rsidRDefault="00304B34" w:rsidP="00304B34">
      <w:pPr>
        <w:tabs>
          <w:tab w:val="left" w:pos="-720"/>
          <w:tab w:val="right" w:leader="dot" w:pos="9639"/>
        </w:tabs>
        <w:suppressAutoHyphens/>
        <w:jc w:val="center"/>
        <w:rPr>
          <w:rFonts w:asciiTheme="minorHAnsi" w:hAnsiTheme="minorHAnsi"/>
          <w:b/>
          <w:spacing w:val="-3"/>
          <w:sz w:val="28"/>
          <w:szCs w:val="28"/>
        </w:rPr>
      </w:pPr>
      <w:r w:rsidRPr="00304B34">
        <w:rPr>
          <w:rFonts w:asciiTheme="minorHAnsi" w:hAnsiTheme="minorHAnsi"/>
          <w:b/>
          <w:spacing w:val="-3"/>
          <w:sz w:val="28"/>
          <w:szCs w:val="28"/>
        </w:rPr>
        <w:t xml:space="preserve">Ecole doctorale EDGE – </w:t>
      </w:r>
      <w:r w:rsidR="00FE0BB7">
        <w:rPr>
          <w:rFonts w:asciiTheme="minorHAnsi" w:hAnsiTheme="minorHAnsi"/>
          <w:b/>
          <w:spacing w:val="-3"/>
          <w:sz w:val="28"/>
          <w:szCs w:val="28"/>
        </w:rPr>
        <w:t>IMT-Atlantique</w:t>
      </w:r>
    </w:p>
    <w:p w:rsidR="00FE0BB7" w:rsidRDefault="00304B34" w:rsidP="00304B34">
      <w:pPr>
        <w:tabs>
          <w:tab w:val="left" w:pos="-720"/>
          <w:tab w:val="right" w:leader="dot" w:pos="9639"/>
        </w:tabs>
        <w:suppressAutoHyphens/>
        <w:jc w:val="center"/>
        <w:rPr>
          <w:rFonts w:asciiTheme="minorHAnsi" w:hAnsiTheme="minorHAnsi"/>
          <w:b/>
          <w:spacing w:val="-3"/>
          <w:sz w:val="28"/>
          <w:szCs w:val="28"/>
        </w:rPr>
      </w:pPr>
      <w:r w:rsidRPr="00304B34">
        <w:rPr>
          <w:rFonts w:asciiTheme="minorHAnsi" w:hAnsiTheme="minorHAnsi"/>
          <w:b/>
          <w:spacing w:val="-3"/>
          <w:sz w:val="28"/>
          <w:szCs w:val="28"/>
        </w:rPr>
        <w:t>Contrat</w:t>
      </w:r>
      <w:r w:rsidR="00EE23A5">
        <w:rPr>
          <w:rFonts w:asciiTheme="minorHAnsi" w:hAnsiTheme="minorHAnsi"/>
          <w:b/>
          <w:spacing w:val="-3"/>
          <w:sz w:val="28"/>
          <w:szCs w:val="28"/>
        </w:rPr>
        <w:t>s doctoraux</w:t>
      </w:r>
      <w:bookmarkStart w:id="0" w:name="_GoBack"/>
      <w:bookmarkEnd w:id="0"/>
      <w:r w:rsidR="00511781">
        <w:rPr>
          <w:rFonts w:asciiTheme="minorHAnsi" w:hAnsiTheme="minorHAnsi"/>
          <w:b/>
          <w:spacing w:val="-3"/>
          <w:sz w:val="28"/>
          <w:szCs w:val="28"/>
        </w:rPr>
        <w:t xml:space="preserve"> 2018</w:t>
      </w:r>
      <w:r>
        <w:rPr>
          <w:rFonts w:asciiTheme="minorHAnsi" w:hAnsiTheme="minorHAnsi"/>
          <w:b/>
          <w:spacing w:val="-3"/>
          <w:sz w:val="28"/>
          <w:szCs w:val="28"/>
        </w:rPr>
        <w:t> : appel à</w:t>
      </w:r>
      <w:r w:rsidRPr="00304B34">
        <w:rPr>
          <w:rFonts w:asciiTheme="minorHAnsi" w:hAnsiTheme="minorHAnsi"/>
          <w:b/>
          <w:spacing w:val="-3"/>
          <w:sz w:val="28"/>
          <w:szCs w:val="28"/>
        </w:rPr>
        <w:t xml:space="preserve"> </w:t>
      </w:r>
      <w:r w:rsidR="00FE0BB7">
        <w:rPr>
          <w:rFonts w:asciiTheme="minorHAnsi" w:hAnsiTheme="minorHAnsi"/>
          <w:b/>
          <w:spacing w:val="-3"/>
          <w:sz w:val="28"/>
          <w:szCs w:val="28"/>
        </w:rPr>
        <w:t>candidats</w:t>
      </w:r>
    </w:p>
    <w:p w:rsidR="00304B34" w:rsidRDefault="00304B34" w:rsidP="00304B34">
      <w:pPr>
        <w:tabs>
          <w:tab w:val="left" w:pos="-720"/>
          <w:tab w:val="right" w:leader="dot" w:pos="9639"/>
        </w:tabs>
        <w:suppressAutoHyphens/>
        <w:jc w:val="center"/>
        <w:rPr>
          <w:rFonts w:asciiTheme="minorHAnsi" w:hAnsiTheme="minorHAnsi"/>
          <w:b/>
          <w:spacing w:val="-3"/>
          <w:sz w:val="28"/>
          <w:szCs w:val="28"/>
        </w:rPr>
      </w:pPr>
    </w:p>
    <w:p w:rsidR="00304B34" w:rsidRPr="00FE0BB7" w:rsidRDefault="00304B34" w:rsidP="00FE0BB7">
      <w:pPr>
        <w:pStyle w:val="Paragraphedeliste"/>
        <w:tabs>
          <w:tab w:val="left" w:pos="-720"/>
          <w:tab w:val="right" w:leader="dot" w:pos="9639"/>
        </w:tabs>
        <w:suppressAutoHyphens/>
        <w:spacing w:line="276" w:lineRule="auto"/>
        <w:rPr>
          <w:rFonts w:asciiTheme="minorHAnsi" w:hAnsiTheme="minorHAnsi"/>
          <w:b/>
          <w:i/>
          <w:spacing w:val="-3"/>
          <w:sz w:val="28"/>
          <w:szCs w:val="28"/>
        </w:rPr>
      </w:pPr>
      <w:r w:rsidRPr="00FE0BB7">
        <w:rPr>
          <w:rFonts w:asciiTheme="minorHAnsi" w:hAnsiTheme="minorHAnsi"/>
          <w:b/>
          <w:i/>
          <w:spacing w:val="-3"/>
          <w:sz w:val="28"/>
          <w:szCs w:val="28"/>
        </w:rPr>
        <w:t>Sujet de thèse</w:t>
      </w:r>
      <w:r w:rsidR="00FE0BB7" w:rsidRPr="00FE0BB7">
        <w:rPr>
          <w:rFonts w:asciiTheme="minorHAnsi" w:hAnsiTheme="minorHAnsi"/>
          <w:b/>
          <w:i/>
          <w:spacing w:val="-3"/>
          <w:sz w:val="28"/>
          <w:szCs w:val="28"/>
        </w:rPr>
        <w:t xml:space="preserve"> : Pratiques de collaboration en oncologie nucléaire </w:t>
      </w:r>
    </w:p>
    <w:p w:rsidR="00FE0BB7" w:rsidRPr="00FE0BB7" w:rsidRDefault="00FE0BB7" w:rsidP="00FE0BB7">
      <w:pPr>
        <w:pStyle w:val="Paragraphedeliste"/>
        <w:tabs>
          <w:tab w:val="left" w:pos="-720"/>
          <w:tab w:val="right" w:leader="dot" w:pos="9639"/>
        </w:tabs>
        <w:suppressAutoHyphens/>
        <w:spacing w:line="276" w:lineRule="auto"/>
        <w:rPr>
          <w:rFonts w:asciiTheme="minorHAnsi" w:hAnsiTheme="minorHAnsi"/>
          <w:b/>
          <w:spacing w:val="-3"/>
          <w:sz w:val="22"/>
          <w:szCs w:val="22"/>
        </w:rPr>
      </w:pPr>
    </w:p>
    <w:p w:rsidR="00FE0BB7" w:rsidRPr="00FE0BB7" w:rsidRDefault="00FE0BB7" w:rsidP="00FE0BB7">
      <w:pPr>
        <w:spacing w:line="276" w:lineRule="auto"/>
        <w:jc w:val="both"/>
        <w:rPr>
          <w:rFonts w:asciiTheme="minorHAnsi" w:hAnsiTheme="minorHAnsi"/>
          <w:sz w:val="22"/>
          <w:szCs w:val="22"/>
        </w:rPr>
      </w:pPr>
      <w:r w:rsidRPr="00FE0BB7">
        <w:rPr>
          <w:rFonts w:asciiTheme="minorHAnsi" w:hAnsiTheme="minorHAnsi"/>
          <w:sz w:val="22"/>
          <w:szCs w:val="22"/>
        </w:rPr>
        <w:t>La médecine fait face à de multiples transformations : médecine de parcours pour les patients, médecine personnalisée, approches théranostiques innovantes, recherche translationnelle. Autant de transformations qui traduisent un mouvement vers une médecine plus intégrée qui exigent de travailler autrement, bousculant les barrières qui cloisonnent classiquement le champ de la santé</w:t>
      </w:r>
      <w:r w:rsidR="00FD550A">
        <w:rPr>
          <w:rFonts w:asciiTheme="minorHAnsi" w:hAnsiTheme="minorHAnsi"/>
          <w:sz w:val="22"/>
          <w:szCs w:val="22"/>
        </w:rPr>
        <w:t xml:space="preserve">. A ce titre, </w:t>
      </w:r>
      <w:r w:rsidRPr="00FE0BB7">
        <w:rPr>
          <w:rFonts w:asciiTheme="minorHAnsi" w:hAnsiTheme="minorHAnsi"/>
          <w:sz w:val="22"/>
          <w:szCs w:val="22"/>
        </w:rPr>
        <w:t xml:space="preserve"> </w:t>
      </w:r>
      <w:r w:rsidR="00FD550A">
        <w:rPr>
          <w:rFonts w:asciiTheme="minorHAnsi" w:hAnsiTheme="minorHAnsi"/>
          <w:sz w:val="22"/>
          <w:szCs w:val="22"/>
        </w:rPr>
        <w:t>l</w:t>
      </w:r>
      <w:r w:rsidRPr="00FE0BB7">
        <w:rPr>
          <w:rFonts w:asciiTheme="minorHAnsi" w:hAnsiTheme="minorHAnsi"/>
          <w:sz w:val="22"/>
          <w:szCs w:val="22"/>
        </w:rPr>
        <w:t xml:space="preserve">’oncologie nucléaire constitue un exemple de cette médecine de demain.  Elle se structure sur un double mouvement : une activité collective qui se complexifie  à  l’interface de plusieurs disciplines (physique, biologie, radiochimie, …) et spécialités médicales  et une spécialisation croissante. Les avancées significatives de la médecine nucléaire tant sur le volet diagnostique que sur celui thérapeutique concourent à modifier la prise en charge du cancer puisqu’elle est susceptible d’intervenir tout au long du parcours de soin du patient : depuis le diagnostique, l’évaluation de la réponse thérapeutique jusqu’à la rechute éventuelle. L’oncologie nucléaire devient ainsi une composante incontournable de la cancérologie. Cependant, la médecine en tant qu’activité collective a été traditionnellement pointée dans la littérature comme étant marquée par un cloisonnement professionnel et structurel, en proie à des difficultés de coopération entre les différents acteurs du parcours de soins et entre la clinique et la recherche.   Cette médecine du parcours sur laquelle se structure l’oncologie nucléaire modifie les pratiques professionnelles et les modes de coordination et de coopération entre les professionnels de santé et entre la clinique et la recherche. L’objectif de cette thèse est d’ouvrir la boite noire de ces approches intégratives. L’enjeu est d’analyser la place et le rôle de la médecine nucléaire dans cette médecine du parcours dans les cas du cancer du sein et du myélome multiple : identifier et expliquer les pratiques de collaboration en oncologie nucléaire (nature et formes de la collaboration, niveau d’implication, contribution à la qualité du </w:t>
      </w:r>
      <w:r>
        <w:rPr>
          <w:rFonts w:asciiTheme="minorHAnsi" w:hAnsiTheme="minorHAnsi"/>
          <w:sz w:val="22"/>
          <w:szCs w:val="22"/>
        </w:rPr>
        <w:t>parcours de soins des patients) et caractériser sa  dynamique organisationnelle et professionnelle.</w:t>
      </w:r>
    </w:p>
    <w:p w:rsidR="00FE0BB7" w:rsidRDefault="00FE0BB7" w:rsidP="00FE0BB7">
      <w:pPr>
        <w:spacing w:line="276" w:lineRule="auto"/>
        <w:jc w:val="both"/>
        <w:rPr>
          <w:rFonts w:asciiTheme="minorHAnsi" w:hAnsiTheme="minorHAnsi"/>
          <w:sz w:val="22"/>
          <w:szCs w:val="22"/>
        </w:rPr>
      </w:pPr>
    </w:p>
    <w:p w:rsidR="00FE0BB7" w:rsidRPr="00FE0BB7" w:rsidRDefault="00FE0BB7" w:rsidP="00FE0BB7">
      <w:pPr>
        <w:spacing w:line="276" w:lineRule="auto"/>
        <w:jc w:val="both"/>
        <w:rPr>
          <w:rFonts w:asciiTheme="minorHAnsi" w:hAnsiTheme="minorHAnsi"/>
          <w:sz w:val="22"/>
          <w:szCs w:val="22"/>
        </w:rPr>
      </w:pPr>
      <w:r w:rsidRPr="00FE0BB7">
        <w:rPr>
          <w:rFonts w:asciiTheme="minorHAnsi" w:hAnsiTheme="minorHAnsi"/>
          <w:sz w:val="22"/>
          <w:szCs w:val="22"/>
        </w:rPr>
        <w:t xml:space="preserve">La thèse bénéficie </w:t>
      </w:r>
      <w:r w:rsidRPr="00FE0BB7">
        <w:rPr>
          <w:rFonts w:asciiTheme="minorHAnsi" w:hAnsiTheme="minorHAnsi"/>
          <w:b/>
          <w:sz w:val="22"/>
          <w:szCs w:val="22"/>
        </w:rPr>
        <w:t>d’un financement d’une durée de trois ans dans le cadre du projet SIRIC - ILIAD</w:t>
      </w:r>
      <w:r w:rsidRPr="00FE0BB7">
        <w:rPr>
          <w:rFonts w:asciiTheme="minorHAnsi" w:hAnsiTheme="minorHAnsi"/>
          <w:sz w:val="22"/>
          <w:szCs w:val="22"/>
        </w:rPr>
        <w:t xml:space="preserve"> (Imaging and Longitudinal Investigations to Ameliorate Decision-making in multiple myeloma and breast cancer). La recherche s’inscrit en Sciences de gestion </w:t>
      </w:r>
      <w:r w:rsidR="00FD550A">
        <w:rPr>
          <w:rFonts w:asciiTheme="minorHAnsi" w:hAnsiTheme="minorHAnsi"/>
          <w:sz w:val="22"/>
          <w:szCs w:val="22"/>
        </w:rPr>
        <w:t>dans le champ des « </w:t>
      </w:r>
      <w:r w:rsidRPr="00FE0BB7">
        <w:rPr>
          <w:rFonts w:asciiTheme="minorHAnsi" w:hAnsiTheme="minorHAnsi"/>
          <w:sz w:val="22"/>
          <w:szCs w:val="22"/>
        </w:rPr>
        <w:t>organization studies</w:t>
      </w:r>
      <w:r w:rsidR="00FD550A">
        <w:rPr>
          <w:rFonts w:asciiTheme="minorHAnsi" w:hAnsiTheme="minorHAnsi"/>
          <w:sz w:val="22"/>
          <w:szCs w:val="22"/>
        </w:rPr>
        <w:t> »</w:t>
      </w:r>
      <w:r w:rsidRPr="00FE0BB7">
        <w:rPr>
          <w:rFonts w:asciiTheme="minorHAnsi" w:hAnsiTheme="minorHAnsi"/>
          <w:sz w:val="22"/>
          <w:szCs w:val="22"/>
        </w:rPr>
        <w:t xml:space="preserve"> et s’appuie sur des travaux en management et sociologie de la santé. L’enquête de terrain se réalisera à l’ICO (Institut de cancérologie de l’Ouest) et dans les CHU partenaires du projet (Nantes et Angers).</w:t>
      </w:r>
    </w:p>
    <w:p w:rsidR="00FE0BB7" w:rsidRPr="00FE0BB7" w:rsidRDefault="00FE0BB7" w:rsidP="00FE0BB7">
      <w:pPr>
        <w:spacing w:line="276" w:lineRule="auto"/>
        <w:jc w:val="both"/>
        <w:rPr>
          <w:rFonts w:asciiTheme="minorHAnsi" w:hAnsiTheme="minorHAnsi"/>
          <w:sz w:val="22"/>
          <w:szCs w:val="22"/>
        </w:rPr>
      </w:pPr>
    </w:p>
    <w:p w:rsidR="00FE0BB7" w:rsidRDefault="00FE0BB7" w:rsidP="00FE0BB7">
      <w:pPr>
        <w:spacing w:line="276" w:lineRule="auto"/>
        <w:jc w:val="both"/>
        <w:rPr>
          <w:rFonts w:asciiTheme="minorHAnsi" w:hAnsiTheme="minorHAnsi"/>
          <w:sz w:val="22"/>
          <w:szCs w:val="22"/>
        </w:rPr>
      </w:pPr>
      <w:r w:rsidRPr="00FE0BB7">
        <w:rPr>
          <w:rFonts w:asciiTheme="minorHAnsi" w:hAnsiTheme="minorHAnsi"/>
          <w:sz w:val="22"/>
          <w:szCs w:val="22"/>
        </w:rPr>
        <w:t xml:space="preserve">La thèse se réalisera sous </w:t>
      </w:r>
      <w:r w:rsidRPr="00FE0BB7">
        <w:rPr>
          <w:rFonts w:asciiTheme="minorHAnsi" w:hAnsiTheme="minorHAnsi"/>
          <w:b/>
          <w:sz w:val="22"/>
          <w:szCs w:val="22"/>
        </w:rPr>
        <w:t>la direction du Professeur Bénédicte Geffroy</w:t>
      </w:r>
      <w:r w:rsidRPr="00FE0BB7">
        <w:rPr>
          <w:rFonts w:asciiTheme="minorHAnsi" w:hAnsiTheme="minorHAnsi"/>
          <w:sz w:val="22"/>
          <w:szCs w:val="22"/>
        </w:rPr>
        <w:t xml:space="preserve"> dans le département de Sciences Sociales et de Gestion de l’</w:t>
      </w:r>
      <w:r w:rsidR="00FD550A">
        <w:rPr>
          <w:rFonts w:asciiTheme="minorHAnsi" w:hAnsiTheme="minorHAnsi"/>
          <w:sz w:val="22"/>
          <w:szCs w:val="22"/>
        </w:rPr>
        <w:t xml:space="preserve">IMT-Atlantique - </w:t>
      </w:r>
      <w:r w:rsidRPr="00FE0BB7">
        <w:rPr>
          <w:rFonts w:asciiTheme="minorHAnsi" w:hAnsiTheme="minorHAnsi"/>
          <w:sz w:val="22"/>
          <w:szCs w:val="22"/>
        </w:rPr>
        <w:t>Campus de Nantes. Le laboratoire de rattachement est le LEMNA – Université de Nantes</w:t>
      </w:r>
      <w:r>
        <w:rPr>
          <w:rFonts w:asciiTheme="minorHAnsi" w:hAnsiTheme="minorHAnsi"/>
          <w:sz w:val="22"/>
          <w:szCs w:val="22"/>
        </w:rPr>
        <w:t>.</w:t>
      </w:r>
    </w:p>
    <w:p w:rsidR="00FE0BB7" w:rsidRDefault="00FE0BB7" w:rsidP="00FE0BB7">
      <w:pPr>
        <w:spacing w:line="276" w:lineRule="auto"/>
        <w:jc w:val="both"/>
        <w:rPr>
          <w:rFonts w:asciiTheme="minorHAnsi" w:hAnsiTheme="minorHAnsi"/>
          <w:sz w:val="22"/>
          <w:szCs w:val="22"/>
        </w:rPr>
      </w:pPr>
    </w:p>
    <w:p w:rsidR="00FE0BB7" w:rsidRPr="00FE0BB7" w:rsidRDefault="00FE0BB7" w:rsidP="00FE0BB7">
      <w:pPr>
        <w:spacing w:line="276" w:lineRule="auto"/>
        <w:jc w:val="both"/>
        <w:rPr>
          <w:rFonts w:asciiTheme="minorHAnsi" w:hAnsiTheme="minorHAnsi"/>
          <w:b/>
          <w:sz w:val="22"/>
          <w:szCs w:val="22"/>
        </w:rPr>
      </w:pPr>
      <w:r w:rsidRPr="00FE0BB7">
        <w:rPr>
          <w:rFonts w:asciiTheme="minorHAnsi" w:hAnsiTheme="minorHAnsi"/>
          <w:b/>
          <w:sz w:val="22"/>
          <w:szCs w:val="22"/>
        </w:rPr>
        <w:t xml:space="preserve">Contact : </w:t>
      </w:r>
      <w:hyperlink r:id="rId9" w:history="1">
        <w:r w:rsidRPr="00F05006">
          <w:rPr>
            <w:rStyle w:val="Lienhypertexte"/>
            <w:rFonts w:asciiTheme="minorHAnsi" w:hAnsiTheme="minorHAnsi"/>
            <w:b/>
            <w:sz w:val="22"/>
            <w:szCs w:val="22"/>
          </w:rPr>
          <w:t>benedicte.geffroy@imt-atlantique.fr</w:t>
        </w:r>
      </w:hyperlink>
      <w:r>
        <w:rPr>
          <w:rFonts w:asciiTheme="minorHAnsi" w:hAnsiTheme="minorHAnsi"/>
          <w:b/>
          <w:sz w:val="22"/>
          <w:szCs w:val="22"/>
        </w:rPr>
        <w:t xml:space="preserve">, 06  83 81 19 51. </w:t>
      </w:r>
    </w:p>
    <w:p w:rsidR="00FE0BB7" w:rsidRDefault="00FE0BB7" w:rsidP="00FE0BB7">
      <w:pPr>
        <w:tabs>
          <w:tab w:val="left" w:pos="-720"/>
          <w:tab w:val="right" w:leader="dot" w:pos="9639"/>
        </w:tabs>
        <w:suppressAutoHyphens/>
        <w:spacing w:line="276" w:lineRule="auto"/>
        <w:rPr>
          <w:rFonts w:asciiTheme="minorHAnsi" w:hAnsiTheme="minorHAnsi"/>
          <w:spacing w:val="-3"/>
          <w:sz w:val="22"/>
          <w:szCs w:val="22"/>
        </w:rPr>
      </w:pPr>
    </w:p>
    <w:p w:rsidR="008833B0" w:rsidRPr="008833B0" w:rsidRDefault="008833B0" w:rsidP="00FE0BB7">
      <w:pPr>
        <w:tabs>
          <w:tab w:val="right" w:leader="dot" w:pos="9639"/>
          <w:tab w:val="right" w:leader="dot" w:pos="10206"/>
        </w:tabs>
        <w:suppressAutoHyphens/>
        <w:spacing w:line="276" w:lineRule="auto"/>
        <w:jc w:val="both"/>
        <w:rPr>
          <w:rFonts w:asciiTheme="minorHAnsi" w:hAnsiTheme="minorHAnsi"/>
          <w:b/>
          <w:spacing w:val="-3"/>
          <w:sz w:val="22"/>
          <w:szCs w:val="22"/>
        </w:rPr>
      </w:pPr>
    </w:p>
    <w:sectPr w:rsidR="008833B0" w:rsidRPr="008833B0" w:rsidSect="002B5DEA">
      <w:headerReference w:type="default" r:id="rId10"/>
      <w:endnotePr>
        <w:numFmt w:val="decimal"/>
      </w:endnotePr>
      <w:pgSz w:w="11907" w:h="16840" w:code="9"/>
      <w:pgMar w:top="1134" w:right="1134" w:bottom="964" w:left="1134" w:header="567" w:footer="567" w:gutter="0"/>
      <w:paperSrc w:first="15" w:other="15"/>
      <w:pgBorders w:offsetFrom="page">
        <w:top w:val="single" w:sz="4" w:space="24" w:color="DBE5F1" w:themeColor="accent1" w:themeTint="33"/>
        <w:left w:val="single" w:sz="4" w:space="24" w:color="DBE5F1" w:themeColor="accent1" w:themeTint="33"/>
        <w:bottom w:val="single" w:sz="4" w:space="24" w:color="DBE5F1" w:themeColor="accent1" w:themeTint="33"/>
        <w:right w:val="single" w:sz="4" w:space="24" w:color="DBE5F1" w:themeColor="accent1" w:themeTint="33"/>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5A" w:rsidRDefault="000E395A" w:rsidP="00295A79">
      <w:r>
        <w:separator/>
      </w:r>
    </w:p>
  </w:endnote>
  <w:endnote w:type="continuationSeparator" w:id="0">
    <w:p w:rsidR="000E395A" w:rsidRDefault="000E395A" w:rsidP="00295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5A" w:rsidRDefault="000E395A" w:rsidP="00295A79">
      <w:r>
        <w:separator/>
      </w:r>
    </w:p>
  </w:footnote>
  <w:footnote w:type="continuationSeparator" w:id="0">
    <w:p w:rsidR="000E395A" w:rsidRDefault="000E395A" w:rsidP="00295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41" w:type="dxa"/>
      <w:tblInd w:w="-781" w:type="dxa"/>
      <w:tblLayout w:type="fixed"/>
      <w:tblLook w:val="0000"/>
    </w:tblPr>
    <w:tblGrid>
      <w:gridCol w:w="2838"/>
      <w:gridCol w:w="7803"/>
    </w:tblGrid>
    <w:tr w:rsidR="005F34F9" w:rsidRPr="00F013B7" w:rsidTr="002B5DEA">
      <w:trPr>
        <w:trHeight w:val="729"/>
      </w:trPr>
      <w:tc>
        <w:tcPr>
          <w:tcW w:w="2838" w:type="dxa"/>
        </w:tcPr>
        <w:p w:rsidR="005F34F9" w:rsidRPr="00F013B7" w:rsidRDefault="005F34F9" w:rsidP="00E11E27">
          <w:pPr>
            <w:jc w:val="both"/>
          </w:pPr>
          <w:bookmarkStart w:id="1" w:name="_gjdgxs" w:colFirst="0" w:colLast="0"/>
          <w:bookmarkEnd w:id="1"/>
          <w:r>
            <w:rPr>
              <w:noProof/>
            </w:rPr>
            <w:drawing>
              <wp:anchor distT="0" distB="0" distL="114300" distR="114300" simplePos="0" relativeHeight="251660288" behindDoc="0" locked="0" layoutInCell="1" allowOverlap="1">
                <wp:simplePos x="0" y="0"/>
                <wp:positionH relativeFrom="column">
                  <wp:posOffset>61595</wp:posOffset>
                </wp:positionH>
                <wp:positionV relativeFrom="paragraph">
                  <wp:posOffset>7854</wp:posOffset>
                </wp:positionV>
                <wp:extent cx="1685925" cy="714141"/>
                <wp:effectExtent l="19050" t="0" r="9525" b="0"/>
                <wp:wrapNone/>
                <wp:docPr id="4" name="Image 4"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ccuei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925" cy="714141"/>
                        </a:xfrm>
                        <a:prstGeom prst="rect">
                          <a:avLst/>
                        </a:prstGeom>
                        <a:noFill/>
                        <a:ln>
                          <a:noFill/>
                        </a:ln>
                      </pic:spPr>
                    </pic:pic>
                  </a:graphicData>
                </a:graphic>
              </wp:anchor>
            </w:drawing>
          </w:r>
          <w:r w:rsidR="002B5DEA">
            <w:t xml:space="preserve">      </w:t>
          </w:r>
        </w:p>
      </w:tc>
      <w:tc>
        <w:tcPr>
          <w:tcW w:w="7803" w:type="dxa"/>
        </w:tcPr>
        <w:p w:rsidR="005F34F9" w:rsidRPr="00F013B7" w:rsidRDefault="00FE0BB7" w:rsidP="00FE0BB7">
          <w:pPr>
            <w:jc w:val="center"/>
          </w:pPr>
          <w:r w:rsidRPr="00FE0BB7">
            <w:rPr>
              <w:noProof/>
            </w:rPr>
            <w:drawing>
              <wp:inline distT="0" distB="0" distL="0" distR="0">
                <wp:extent cx="1885950" cy="1209675"/>
                <wp:effectExtent l="19050" t="0" r="0" b="0"/>
                <wp:docPr id="5" name="Image 1" descr="http://www.imt-atlantique.fr/lexians/wp-content/uploads/2016/09/IMT_Atlantique_rvb2.jpg"/>
                <wp:cNvGraphicFramePr/>
                <a:graphic xmlns:a="http://schemas.openxmlformats.org/drawingml/2006/main">
                  <a:graphicData uri="http://schemas.openxmlformats.org/drawingml/2006/picture">
                    <pic:pic xmlns:pic="http://schemas.openxmlformats.org/drawingml/2006/picture">
                      <pic:nvPicPr>
                        <pic:cNvPr id="33798" name="Picture 6" descr="http://www.imt-atlantique.fr/lexians/wp-content/uploads/2016/09/IMT_Atlantique_rvb2.jpg"/>
                        <pic:cNvPicPr>
                          <a:picLocks noChangeAspect="1" noChangeArrowheads="1"/>
                        </pic:cNvPicPr>
                      </pic:nvPicPr>
                      <pic:blipFill>
                        <a:blip r:embed="rId2" cstate="print"/>
                        <a:srcRect/>
                        <a:stretch>
                          <a:fillRect/>
                        </a:stretch>
                      </pic:blipFill>
                      <pic:spPr bwMode="auto">
                        <a:xfrm>
                          <a:off x="0" y="0"/>
                          <a:ext cx="1885950" cy="1209675"/>
                        </a:xfrm>
                        <a:prstGeom prst="rect">
                          <a:avLst/>
                        </a:prstGeom>
                        <a:noFill/>
                      </pic:spPr>
                    </pic:pic>
                  </a:graphicData>
                </a:graphic>
              </wp:inline>
            </w:drawing>
          </w:r>
        </w:p>
        <w:p w:rsidR="005F34F9" w:rsidRPr="00F013B7" w:rsidRDefault="00FE0BB7" w:rsidP="00E11E27">
          <w:pPr>
            <w:jc w:val="both"/>
            <w:rPr>
              <w:b/>
            </w:rPr>
          </w:pPr>
          <w:r>
            <w:rPr>
              <w:b/>
              <w:noProof/>
            </w:rPr>
            <w:drawing>
              <wp:anchor distT="0" distB="0" distL="114300" distR="114300" simplePos="0" relativeHeight="251659264" behindDoc="0" locked="0" layoutInCell="1" allowOverlap="1">
                <wp:simplePos x="0" y="0"/>
                <wp:positionH relativeFrom="margin">
                  <wp:posOffset>3281680</wp:posOffset>
                </wp:positionH>
                <wp:positionV relativeFrom="paragraph">
                  <wp:posOffset>-931545</wp:posOffset>
                </wp:positionV>
                <wp:extent cx="1228725" cy="304800"/>
                <wp:effectExtent l="19050" t="0" r="9525" b="0"/>
                <wp:wrapSquare wrapText="bothSides" distT="0" distB="0" distL="114300" distR="114300"/>
                <wp:docPr id="1" name="image3.png" descr="LEMNA-transp"/>
                <wp:cNvGraphicFramePr/>
                <a:graphic xmlns:a="http://schemas.openxmlformats.org/drawingml/2006/main">
                  <a:graphicData uri="http://schemas.openxmlformats.org/drawingml/2006/picture">
                    <pic:pic xmlns:pic="http://schemas.openxmlformats.org/drawingml/2006/picture">
                      <pic:nvPicPr>
                        <pic:cNvPr id="0" name="image3.png" descr="LEMNA-transp"/>
                        <pic:cNvPicPr preferRelativeResize="0"/>
                      </pic:nvPicPr>
                      <pic:blipFill>
                        <a:blip r:embed="rId3"/>
                        <a:srcRect/>
                        <a:stretch>
                          <a:fillRect/>
                        </a:stretch>
                      </pic:blipFill>
                      <pic:spPr>
                        <a:xfrm>
                          <a:off x="0" y="0"/>
                          <a:ext cx="1228725" cy="304800"/>
                        </a:xfrm>
                        <a:prstGeom prst="rect">
                          <a:avLst/>
                        </a:prstGeom>
                        <a:ln/>
                      </pic:spPr>
                    </pic:pic>
                  </a:graphicData>
                </a:graphic>
              </wp:anchor>
            </w:drawing>
          </w:r>
        </w:p>
      </w:tc>
    </w:tr>
  </w:tbl>
  <w:p w:rsidR="00295A79" w:rsidRDefault="00295A79" w:rsidP="002B5DE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C11"/>
    <w:multiLevelType w:val="singleLevel"/>
    <w:tmpl w:val="D6BED3C0"/>
    <w:lvl w:ilvl="0">
      <w:start w:val="1"/>
      <w:numFmt w:val="decimal"/>
      <w:lvlText w:val="%1."/>
      <w:lvlJc w:val="left"/>
      <w:pPr>
        <w:tabs>
          <w:tab w:val="num" w:pos="360"/>
        </w:tabs>
        <w:ind w:left="360" w:hanging="360"/>
      </w:pPr>
      <w:rPr>
        <w:b/>
      </w:rPr>
    </w:lvl>
  </w:abstractNum>
  <w:abstractNum w:abstractNumId="1">
    <w:nsid w:val="055D6B05"/>
    <w:multiLevelType w:val="hybridMultilevel"/>
    <w:tmpl w:val="EB408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752980"/>
    <w:multiLevelType w:val="hybridMultilevel"/>
    <w:tmpl w:val="C792CD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A756BC"/>
    <w:multiLevelType w:val="hybridMultilevel"/>
    <w:tmpl w:val="0AB40AB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67071A2"/>
    <w:multiLevelType w:val="hybridMultilevel"/>
    <w:tmpl w:val="96B664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A370BA"/>
    <w:multiLevelType w:val="hybridMultilevel"/>
    <w:tmpl w:val="444A2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56B8B"/>
    <w:multiLevelType w:val="hybridMultilevel"/>
    <w:tmpl w:val="09820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B7BD5"/>
    <w:multiLevelType w:val="hybridMultilevel"/>
    <w:tmpl w:val="D3EE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81DBC"/>
    <w:multiLevelType w:val="hybridMultilevel"/>
    <w:tmpl w:val="3BF0D81E"/>
    <w:lvl w:ilvl="0" w:tplc="EB084686">
      <w:start w:val="1"/>
      <w:numFmt w:val="bullet"/>
      <w:lvlText w:val=""/>
      <w:lvlJc w:val="left"/>
      <w:pPr>
        <w:ind w:left="1440" w:hanging="360"/>
      </w:pPr>
      <w:rPr>
        <w:rFonts w:ascii="ZapfDingbats" w:hAnsi="ZapfDingba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1DD0E3B"/>
    <w:multiLevelType w:val="hybridMultilevel"/>
    <w:tmpl w:val="1FDCA1CC"/>
    <w:lvl w:ilvl="0" w:tplc="040C000D">
      <w:start w:val="1"/>
      <w:numFmt w:val="bullet"/>
      <w:lvlText w:val=""/>
      <w:lvlJc w:val="left"/>
      <w:pPr>
        <w:ind w:left="1440" w:hanging="360"/>
      </w:pPr>
      <w:rPr>
        <w:rFonts w:ascii="Wingdings" w:hAnsi="Wingdings" w:hint="default"/>
      </w:rPr>
    </w:lvl>
    <w:lvl w:ilvl="1" w:tplc="89585B6E">
      <w:numFmt w:val="bullet"/>
      <w:lvlText w:val="•"/>
      <w:lvlJc w:val="left"/>
      <w:pPr>
        <w:ind w:left="2355" w:hanging="555"/>
      </w:pPr>
      <w:rPr>
        <w:rFonts w:ascii="Calibri" w:eastAsia="Times New Roman" w:hAnsi="Calibri"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3EB37FD"/>
    <w:multiLevelType w:val="hybridMultilevel"/>
    <w:tmpl w:val="2438EDEA"/>
    <w:lvl w:ilvl="0" w:tplc="EB084686">
      <w:start w:val="1"/>
      <w:numFmt w:val="bullet"/>
      <w:lvlText w:val=""/>
      <w:lvlJc w:val="left"/>
      <w:pPr>
        <w:ind w:left="1440" w:hanging="360"/>
      </w:pPr>
      <w:rPr>
        <w:rFonts w:ascii="ZapfDingbats" w:hAnsi="ZapfDingbats" w:hint="default"/>
      </w:rPr>
    </w:lvl>
    <w:lvl w:ilvl="1" w:tplc="89585B6E">
      <w:numFmt w:val="bullet"/>
      <w:lvlText w:val="•"/>
      <w:lvlJc w:val="left"/>
      <w:pPr>
        <w:ind w:left="2355" w:hanging="555"/>
      </w:pPr>
      <w:rPr>
        <w:rFonts w:ascii="Calibri" w:eastAsia="Times New Roman" w:hAnsi="Calibri"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63C16A7"/>
    <w:multiLevelType w:val="hybridMultilevel"/>
    <w:tmpl w:val="7D5A48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CB3CDD"/>
    <w:multiLevelType w:val="hybridMultilevel"/>
    <w:tmpl w:val="38F0A2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20FC1"/>
    <w:multiLevelType w:val="hybridMultilevel"/>
    <w:tmpl w:val="141AA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7731DB"/>
    <w:multiLevelType w:val="hybridMultilevel"/>
    <w:tmpl w:val="30768B20"/>
    <w:lvl w:ilvl="0" w:tplc="514C660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036DE7"/>
    <w:multiLevelType w:val="singleLevel"/>
    <w:tmpl w:val="D6BED3C0"/>
    <w:lvl w:ilvl="0">
      <w:start w:val="1"/>
      <w:numFmt w:val="decimal"/>
      <w:lvlText w:val="%1."/>
      <w:lvlJc w:val="left"/>
      <w:pPr>
        <w:tabs>
          <w:tab w:val="num" w:pos="360"/>
        </w:tabs>
        <w:ind w:left="360" w:hanging="360"/>
      </w:pPr>
      <w:rPr>
        <w:b/>
      </w:rPr>
    </w:lvl>
  </w:abstractNum>
  <w:abstractNum w:abstractNumId="16">
    <w:nsid w:val="70217834"/>
    <w:multiLevelType w:val="hybridMultilevel"/>
    <w:tmpl w:val="B706CF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B360F9"/>
    <w:multiLevelType w:val="hybridMultilevel"/>
    <w:tmpl w:val="053AC8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187C5D"/>
    <w:multiLevelType w:val="hybridMultilevel"/>
    <w:tmpl w:val="9A204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4E285F"/>
    <w:multiLevelType w:val="hybridMultilevel"/>
    <w:tmpl w:val="08C60A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4"/>
  </w:num>
  <w:num w:numId="5">
    <w:abstractNumId w:val="10"/>
  </w:num>
  <w:num w:numId="6">
    <w:abstractNumId w:val="8"/>
  </w:num>
  <w:num w:numId="7">
    <w:abstractNumId w:val="0"/>
  </w:num>
  <w:num w:numId="8">
    <w:abstractNumId w:val="14"/>
  </w:num>
  <w:num w:numId="9">
    <w:abstractNumId w:val="11"/>
  </w:num>
  <w:num w:numId="10">
    <w:abstractNumId w:val="17"/>
  </w:num>
  <w:num w:numId="11">
    <w:abstractNumId w:val="15"/>
  </w:num>
  <w:num w:numId="12">
    <w:abstractNumId w:val="9"/>
  </w:num>
  <w:num w:numId="13">
    <w:abstractNumId w:val="5"/>
  </w:num>
  <w:num w:numId="14">
    <w:abstractNumId w:val="18"/>
  </w:num>
  <w:num w:numId="15">
    <w:abstractNumId w:val="7"/>
  </w:num>
  <w:num w:numId="16">
    <w:abstractNumId w:val="12"/>
  </w:num>
  <w:num w:numId="17">
    <w:abstractNumId w:val="6"/>
  </w:num>
  <w:num w:numId="18">
    <w:abstractNumId w:val="13"/>
  </w:num>
  <w:num w:numId="19">
    <w:abstractNumId w:val="1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numFmt w:val="decimal"/>
    <w:endnote w:id="-1"/>
    <w:endnote w:id="0"/>
  </w:endnotePr>
  <w:compat>
    <w:useFELayout/>
  </w:compat>
  <w:rsids>
    <w:rsidRoot w:val="00295A79"/>
    <w:rsid w:val="0004332A"/>
    <w:rsid w:val="00043B2E"/>
    <w:rsid w:val="00043B5C"/>
    <w:rsid w:val="00071ACF"/>
    <w:rsid w:val="00080F75"/>
    <w:rsid w:val="000A517A"/>
    <w:rsid w:val="000E395A"/>
    <w:rsid w:val="001354C5"/>
    <w:rsid w:val="00153E8C"/>
    <w:rsid w:val="00161EA2"/>
    <w:rsid w:val="001F29F3"/>
    <w:rsid w:val="002209FC"/>
    <w:rsid w:val="00252DA2"/>
    <w:rsid w:val="00260234"/>
    <w:rsid w:val="002819BF"/>
    <w:rsid w:val="00295A79"/>
    <w:rsid w:val="002A2CFD"/>
    <w:rsid w:val="002B5DEA"/>
    <w:rsid w:val="00304B34"/>
    <w:rsid w:val="00344677"/>
    <w:rsid w:val="00464D4F"/>
    <w:rsid w:val="004E0E61"/>
    <w:rsid w:val="00511781"/>
    <w:rsid w:val="00514B7B"/>
    <w:rsid w:val="0057066F"/>
    <w:rsid w:val="005A0989"/>
    <w:rsid w:val="005F34F9"/>
    <w:rsid w:val="00631151"/>
    <w:rsid w:val="006D70DA"/>
    <w:rsid w:val="0072100B"/>
    <w:rsid w:val="00730B6D"/>
    <w:rsid w:val="0075773B"/>
    <w:rsid w:val="007B4DBD"/>
    <w:rsid w:val="007C31F4"/>
    <w:rsid w:val="00800C07"/>
    <w:rsid w:val="00831488"/>
    <w:rsid w:val="008833B0"/>
    <w:rsid w:val="008C0282"/>
    <w:rsid w:val="008E691B"/>
    <w:rsid w:val="00941D86"/>
    <w:rsid w:val="009512FE"/>
    <w:rsid w:val="00971D67"/>
    <w:rsid w:val="00A563A0"/>
    <w:rsid w:val="00AB41F8"/>
    <w:rsid w:val="00B11713"/>
    <w:rsid w:val="00BF3761"/>
    <w:rsid w:val="00C3298D"/>
    <w:rsid w:val="00C343C3"/>
    <w:rsid w:val="00C85FCF"/>
    <w:rsid w:val="00CB278E"/>
    <w:rsid w:val="00CE35CC"/>
    <w:rsid w:val="00D107B0"/>
    <w:rsid w:val="00D41BC6"/>
    <w:rsid w:val="00D84927"/>
    <w:rsid w:val="00D95B9F"/>
    <w:rsid w:val="00E01D94"/>
    <w:rsid w:val="00E47ABD"/>
    <w:rsid w:val="00EE23A5"/>
    <w:rsid w:val="00F43E2A"/>
    <w:rsid w:val="00F70752"/>
    <w:rsid w:val="00FD0CDB"/>
    <w:rsid w:val="00FD550A"/>
    <w:rsid w:val="00FE0B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79"/>
    <w:pPr>
      <w:spacing w:after="0" w:line="240" w:lineRule="auto"/>
    </w:pPr>
    <w:rPr>
      <w:rFonts w:ascii="Courier" w:eastAsia="Times New Roman" w:hAnsi="Courier"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5A79"/>
    <w:pPr>
      <w:ind w:left="720"/>
      <w:contextualSpacing/>
    </w:pPr>
  </w:style>
  <w:style w:type="table" w:customStyle="1" w:styleId="Grilledutableau1">
    <w:name w:val="Grille du tableau1"/>
    <w:basedOn w:val="TableauNormal"/>
    <w:next w:val="Grilledutableau"/>
    <w:uiPriority w:val="59"/>
    <w:rsid w:val="00295A79"/>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295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95A79"/>
    <w:pPr>
      <w:tabs>
        <w:tab w:val="center" w:pos="4536"/>
        <w:tab w:val="right" w:pos="9072"/>
      </w:tabs>
    </w:pPr>
  </w:style>
  <w:style w:type="character" w:customStyle="1" w:styleId="En-tteCar">
    <w:name w:val="En-tête Car"/>
    <w:basedOn w:val="Policepardfaut"/>
    <w:link w:val="En-tte"/>
    <w:uiPriority w:val="99"/>
    <w:rsid w:val="00295A79"/>
    <w:rPr>
      <w:rFonts w:ascii="Courier" w:eastAsia="Times New Roman" w:hAnsi="Courier" w:cs="Times New Roman"/>
      <w:sz w:val="24"/>
      <w:szCs w:val="24"/>
      <w:lang w:eastAsia="fr-FR"/>
    </w:rPr>
  </w:style>
  <w:style w:type="paragraph" w:styleId="Pieddepage">
    <w:name w:val="footer"/>
    <w:basedOn w:val="Normal"/>
    <w:link w:val="PieddepageCar"/>
    <w:uiPriority w:val="99"/>
    <w:unhideWhenUsed/>
    <w:rsid w:val="00295A79"/>
    <w:pPr>
      <w:tabs>
        <w:tab w:val="center" w:pos="4536"/>
        <w:tab w:val="right" w:pos="9072"/>
      </w:tabs>
    </w:pPr>
  </w:style>
  <w:style w:type="character" w:customStyle="1" w:styleId="PieddepageCar">
    <w:name w:val="Pied de page Car"/>
    <w:basedOn w:val="Policepardfaut"/>
    <w:link w:val="Pieddepage"/>
    <w:uiPriority w:val="99"/>
    <w:rsid w:val="00295A79"/>
    <w:rPr>
      <w:rFonts w:ascii="Courier" w:eastAsia="Times New Roman" w:hAnsi="Courier" w:cs="Times New Roman"/>
      <w:sz w:val="24"/>
      <w:szCs w:val="24"/>
      <w:lang w:eastAsia="fr-FR"/>
    </w:rPr>
  </w:style>
  <w:style w:type="paragraph" w:styleId="Textedebulles">
    <w:name w:val="Balloon Text"/>
    <w:basedOn w:val="Normal"/>
    <w:link w:val="TextedebullesCar"/>
    <w:uiPriority w:val="99"/>
    <w:semiHidden/>
    <w:unhideWhenUsed/>
    <w:rsid w:val="00295A79"/>
    <w:rPr>
      <w:rFonts w:ascii="Tahoma" w:hAnsi="Tahoma" w:cs="Tahoma"/>
      <w:sz w:val="16"/>
      <w:szCs w:val="16"/>
    </w:rPr>
  </w:style>
  <w:style w:type="character" w:customStyle="1" w:styleId="TextedebullesCar">
    <w:name w:val="Texte de bulles Car"/>
    <w:basedOn w:val="Policepardfaut"/>
    <w:link w:val="Textedebulles"/>
    <w:uiPriority w:val="99"/>
    <w:semiHidden/>
    <w:rsid w:val="00295A79"/>
    <w:rPr>
      <w:rFonts w:ascii="Tahoma" w:eastAsia="Times New Roman" w:hAnsi="Tahoma" w:cs="Tahoma"/>
      <w:sz w:val="16"/>
      <w:szCs w:val="16"/>
      <w:lang w:eastAsia="fr-FR"/>
    </w:rPr>
  </w:style>
  <w:style w:type="character" w:styleId="Lienhypertexte">
    <w:name w:val="Hyperlink"/>
    <w:basedOn w:val="Policepardfaut"/>
    <w:uiPriority w:val="99"/>
    <w:unhideWhenUsed/>
    <w:rsid w:val="005A09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63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edicte.geffroy@imt-atlantiqu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EF9F-7C41-4442-A750-E4DFB132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CHOBLET-SCHILL Claire</dc:creator>
  <cp:lastModifiedBy>geffroy</cp:lastModifiedBy>
  <cp:revision>4</cp:revision>
  <dcterms:created xsi:type="dcterms:W3CDTF">2018-03-12T16:09:00Z</dcterms:created>
  <dcterms:modified xsi:type="dcterms:W3CDTF">2018-03-12T16:24:00Z</dcterms:modified>
</cp:coreProperties>
</file>