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Pr="00F0158E" w:rsidR="002B48E1" w:rsidP="4306CD06" w:rsidRDefault="1EDECF99" w14:paraId="3368A7D4" w14:textId="642E5864">
      <w:pPr>
        <w:pStyle w:val="Titre"/>
        <w:rPr>
          <w:rFonts w:ascii="Aptos Display" w:hAnsi="Aptos Display" w:eastAsia="Aptos Display" w:cs="Aptos Display"/>
          <w:color w:val="000000" w:themeColor="text1"/>
          <w:sz w:val="52"/>
          <w:szCs w:val="52"/>
        </w:rPr>
      </w:pPr>
      <w:r w:rsidRPr="4306CD06" w:rsidR="1EDECF99">
        <w:rPr>
          <w:rFonts w:ascii="Aptos Display" w:hAnsi="Aptos Display" w:eastAsia="Aptos Display" w:cs="Aptos Display"/>
          <w:color w:val="000000" w:themeColor="text1" w:themeTint="FF" w:themeShade="FF"/>
          <w:sz w:val="52"/>
          <w:szCs w:val="52"/>
        </w:rPr>
        <w:t xml:space="preserve">Fiche de capitalisation – Etudiants Relais </w:t>
      </w:r>
      <w:r w:rsidRPr="4306CD06" w:rsidR="1EDECF99">
        <w:rPr>
          <w:rFonts w:ascii="Aptos Display" w:hAnsi="Aptos Display" w:eastAsia="Aptos Display" w:cs="Aptos Display"/>
          <w:color w:val="000000" w:themeColor="text1" w:themeTint="FF" w:themeShade="FF"/>
          <w:sz w:val="52"/>
          <w:szCs w:val="52"/>
        </w:rPr>
        <w:t>Addicto</w:t>
      </w:r>
      <w:r w:rsidRPr="4306CD06" w:rsidR="1EDECF99">
        <w:rPr>
          <w:rFonts w:ascii="Aptos Display" w:hAnsi="Aptos Display" w:eastAsia="Aptos Display" w:cs="Aptos Display"/>
          <w:color w:val="000000" w:themeColor="text1" w:themeTint="FF" w:themeShade="FF"/>
          <w:sz w:val="52"/>
          <w:szCs w:val="52"/>
        </w:rPr>
        <w:t xml:space="preserve"> – Association Ithaque et SSE de Strasbourg</w:t>
      </w:r>
    </w:p>
    <w:p w:rsidRPr="00F0158E" w:rsidR="002B48E1" w:rsidP="28F76620" w:rsidRDefault="1EDECF99" w14:paraId="4F3B4909" w14:textId="77777777">
      <w:pPr>
        <w:pStyle w:val="Titre3"/>
        <w:rPr>
          <w:rFonts w:ascii="Aptos" w:hAnsi="Aptos" w:eastAsia="Aptos" w:cs="Aptos"/>
          <w:color w:val="auto"/>
        </w:rPr>
      </w:pPr>
      <w:r w:rsidRPr="28F76620" w:rsidR="1EDECF99">
        <w:rPr>
          <w:color w:val="auto"/>
        </w:rPr>
        <w:t xml:space="preserve">Résumé </w:t>
      </w:r>
    </w:p>
    <w:p w:rsidRPr="00F0158E" w:rsidR="002B48E1" w:rsidP="12E351EE" w:rsidRDefault="1EDECF99" w14:paraId="7D0DD5E0" w14:textId="77777777">
      <w:pPr>
        <w:rPr>
          <w:rFonts w:ascii="Aptos" w:hAnsi="Aptos" w:eastAsia="Aptos" w:cs="Aptos"/>
          <w:color w:val="000000" w:themeColor="text1"/>
        </w:rPr>
      </w:pPr>
      <w:r w:rsidRPr="00F0158E">
        <w:rPr>
          <w:rFonts w:ascii="Aptos" w:hAnsi="Aptos" w:eastAsia="Aptos" w:cs="Aptos"/>
          <w:color w:val="000000" w:themeColor="text1"/>
        </w:rPr>
        <w:t>L’association Ithaque et le SSE de l’Université de Strasbourg ont élaboré un projet en partenariat, visant à traiter la problématique des addictions du public étudiant. Fort de l’expérience en Réduction des Risques (</w:t>
      </w:r>
      <w:proofErr w:type="spellStart"/>
      <w:r w:rsidRPr="00F0158E">
        <w:rPr>
          <w:rFonts w:ascii="Aptos" w:hAnsi="Aptos" w:eastAsia="Aptos" w:cs="Aptos"/>
          <w:color w:val="000000" w:themeColor="text1"/>
        </w:rPr>
        <w:t>RdR</w:t>
      </w:r>
      <w:proofErr w:type="spellEnd"/>
      <w:r w:rsidRPr="00F0158E">
        <w:rPr>
          <w:rFonts w:ascii="Aptos" w:hAnsi="Aptos" w:eastAsia="Aptos" w:cs="Aptos"/>
          <w:color w:val="000000" w:themeColor="text1"/>
        </w:rPr>
        <w:t>) d’Ithaque, et de différents dispositifs “Etudiants-relais” liés au SSE, ce partenariat a pour objectif d’aller-vers les étudiants en s’appuyant sur une démarche de pair-</w:t>
      </w:r>
      <w:proofErr w:type="spellStart"/>
      <w:r w:rsidRPr="00F0158E">
        <w:rPr>
          <w:rFonts w:ascii="Aptos" w:hAnsi="Aptos" w:eastAsia="Aptos" w:cs="Aptos"/>
          <w:color w:val="000000" w:themeColor="text1"/>
        </w:rPr>
        <w:t>aidance</w:t>
      </w:r>
      <w:proofErr w:type="spellEnd"/>
      <w:r w:rsidRPr="00F0158E">
        <w:rPr>
          <w:rFonts w:ascii="Aptos" w:hAnsi="Aptos" w:eastAsia="Aptos" w:cs="Aptos"/>
          <w:color w:val="000000" w:themeColor="text1"/>
        </w:rPr>
        <w:t xml:space="preserve">. Ainsi, depuis la rentrée universitaire 2023, des étudiants de l’Université de Strasbourg sont recrutés en tant qu’Etudiants Relais </w:t>
      </w:r>
      <w:proofErr w:type="spellStart"/>
      <w:r w:rsidRPr="00F0158E">
        <w:rPr>
          <w:rFonts w:ascii="Aptos" w:hAnsi="Aptos" w:eastAsia="Aptos" w:cs="Aptos"/>
          <w:color w:val="000000" w:themeColor="text1"/>
        </w:rPr>
        <w:t>Addicto</w:t>
      </w:r>
      <w:proofErr w:type="spellEnd"/>
      <w:r w:rsidRPr="00F0158E">
        <w:rPr>
          <w:rFonts w:ascii="Aptos" w:hAnsi="Aptos" w:eastAsia="Aptos" w:cs="Aptos"/>
          <w:color w:val="000000" w:themeColor="text1"/>
        </w:rPr>
        <w:t xml:space="preserve">. Ces derniers ont différentes missions comme la tenue de stands lors d’événements festifs, de nombreux temps de sensibilisation, de l’orientation de premier niveau ou encore le suivi et l’alimentation de bornes de Réduction des Risques en libre-service. </w:t>
      </w:r>
    </w:p>
    <w:p w:rsidRPr="00F0158E" w:rsidR="12E351EE" w:rsidP="12E351EE" w:rsidRDefault="12E351EE" w14:paraId="04E47944" w14:textId="7A9503B3">
      <w:pPr>
        <w:rPr>
          <w:rFonts w:ascii="Aptos" w:hAnsi="Aptos" w:eastAsia="Aptos" w:cs="Aptos"/>
          <w:color w:val="000000" w:themeColor="text1"/>
        </w:rPr>
      </w:pPr>
    </w:p>
    <w:p w:rsidR="28F76620" w:rsidP="28F76620" w:rsidRDefault="28F76620" w14:paraId="4BEAD64E" w14:textId="48FFE6A6">
      <w:pPr>
        <w:rPr>
          <w:rFonts w:ascii="Aptos" w:hAnsi="Aptos" w:eastAsia="Aptos" w:cs="Aptos"/>
          <w:color w:val="000000" w:themeColor="text1" w:themeTint="FF" w:themeShade="FF"/>
        </w:rPr>
      </w:pPr>
    </w:p>
    <w:p w:rsidR="28F76620" w:rsidP="28F76620" w:rsidRDefault="28F76620" w14:paraId="2EAC9B74" w14:textId="4A56FC06">
      <w:pPr>
        <w:rPr>
          <w:rFonts w:ascii="Aptos" w:hAnsi="Aptos" w:eastAsia="Aptos" w:cs="Aptos"/>
          <w:color w:val="000000" w:themeColor="text1" w:themeTint="FF" w:themeShade="FF"/>
        </w:rPr>
      </w:pPr>
    </w:p>
    <w:p w:rsidR="28F76620" w:rsidP="28F76620" w:rsidRDefault="28F76620" w14:paraId="37D5A485" w14:textId="1470FF51">
      <w:pPr>
        <w:rPr>
          <w:rFonts w:ascii="Aptos" w:hAnsi="Aptos" w:eastAsia="Aptos" w:cs="Aptos"/>
          <w:color w:val="000000" w:themeColor="text1" w:themeTint="FF" w:themeShade="FF"/>
        </w:rPr>
      </w:pPr>
    </w:p>
    <w:p w:rsidR="28F76620" w:rsidP="28F76620" w:rsidRDefault="28F76620" w14:paraId="5FA71BC0" w14:textId="0FE30998">
      <w:pPr>
        <w:rPr>
          <w:rFonts w:ascii="Aptos" w:hAnsi="Aptos" w:eastAsia="Aptos" w:cs="Aptos"/>
          <w:color w:val="000000" w:themeColor="text1" w:themeTint="FF" w:themeShade="FF"/>
        </w:rPr>
      </w:pPr>
    </w:p>
    <w:p w:rsidR="28F76620" w:rsidP="28F76620" w:rsidRDefault="28F76620" w14:paraId="01CE7928" w14:textId="2B74304E">
      <w:pPr>
        <w:rPr>
          <w:rFonts w:ascii="Aptos" w:hAnsi="Aptos" w:eastAsia="Aptos" w:cs="Aptos"/>
          <w:color w:val="000000" w:themeColor="text1" w:themeTint="FF" w:themeShade="FF"/>
        </w:rPr>
      </w:pPr>
    </w:p>
    <w:p w:rsidR="28F76620" w:rsidP="28F76620" w:rsidRDefault="28F76620" w14:paraId="35630C8A" w14:textId="3F4C50B6">
      <w:pPr>
        <w:rPr>
          <w:rFonts w:ascii="Aptos" w:hAnsi="Aptos" w:eastAsia="Aptos" w:cs="Aptos"/>
          <w:color w:val="000000" w:themeColor="text1" w:themeTint="FF" w:themeShade="FF"/>
        </w:rPr>
      </w:pPr>
    </w:p>
    <w:p w:rsidR="28F76620" w:rsidP="28F76620" w:rsidRDefault="28F76620" w14:paraId="58154D55" w14:textId="58EE43B6">
      <w:pPr>
        <w:rPr>
          <w:rFonts w:ascii="Aptos" w:hAnsi="Aptos" w:eastAsia="Aptos" w:cs="Aptos"/>
          <w:color w:val="000000" w:themeColor="text1" w:themeTint="FF" w:themeShade="FF"/>
        </w:rPr>
      </w:pPr>
    </w:p>
    <w:p w:rsidR="28F76620" w:rsidP="28F76620" w:rsidRDefault="28F76620" w14:paraId="73DA879D" w14:textId="4A12415E">
      <w:pPr>
        <w:rPr>
          <w:rFonts w:ascii="Aptos" w:hAnsi="Aptos" w:eastAsia="Aptos" w:cs="Aptos"/>
          <w:color w:val="000000" w:themeColor="text1" w:themeTint="FF" w:themeShade="FF"/>
        </w:rPr>
      </w:pPr>
    </w:p>
    <w:p w:rsidR="28F76620" w:rsidP="28F76620" w:rsidRDefault="28F76620" w14:paraId="4F4F9C3E" w14:textId="207DDCF9">
      <w:pPr>
        <w:rPr>
          <w:rFonts w:ascii="Aptos" w:hAnsi="Aptos" w:eastAsia="Aptos" w:cs="Aptos"/>
          <w:color w:val="000000" w:themeColor="text1" w:themeTint="FF" w:themeShade="FF"/>
        </w:rPr>
      </w:pPr>
    </w:p>
    <w:p w:rsidR="28F76620" w:rsidP="28F76620" w:rsidRDefault="28F76620" w14:paraId="2082FE95" w14:textId="08CF50D8">
      <w:pPr>
        <w:rPr>
          <w:rFonts w:ascii="Aptos" w:hAnsi="Aptos" w:eastAsia="Aptos" w:cs="Aptos"/>
          <w:color w:val="000000" w:themeColor="text1" w:themeTint="FF" w:themeShade="FF"/>
        </w:rPr>
      </w:pPr>
    </w:p>
    <w:p w:rsidR="28F76620" w:rsidP="28F76620" w:rsidRDefault="28F76620" w14:paraId="106D4CFF" w14:textId="72514B04">
      <w:pPr>
        <w:rPr>
          <w:rFonts w:ascii="Aptos" w:hAnsi="Aptos" w:eastAsia="Aptos" w:cs="Aptos"/>
          <w:color w:val="000000" w:themeColor="text1" w:themeTint="FF" w:themeShade="FF"/>
        </w:rPr>
      </w:pPr>
    </w:p>
    <w:p w:rsidR="28F76620" w:rsidP="28F76620" w:rsidRDefault="28F76620" w14:paraId="7750F73C" w14:textId="3ACC4A97">
      <w:pPr>
        <w:rPr>
          <w:rFonts w:ascii="Aptos" w:hAnsi="Aptos" w:eastAsia="Aptos" w:cs="Aptos"/>
          <w:color w:val="000000" w:themeColor="text1" w:themeTint="FF" w:themeShade="FF"/>
        </w:rPr>
      </w:pPr>
    </w:p>
    <w:p w:rsidR="28F76620" w:rsidP="28F76620" w:rsidRDefault="28F76620" w14:paraId="2CE52A87" w14:textId="2E4184CB">
      <w:pPr>
        <w:rPr>
          <w:rFonts w:ascii="Aptos" w:hAnsi="Aptos" w:eastAsia="Aptos" w:cs="Aptos"/>
          <w:color w:val="000000" w:themeColor="text1" w:themeTint="FF" w:themeShade="FF"/>
        </w:rPr>
      </w:pPr>
    </w:p>
    <w:p w:rsidR="28F76620" w:rsidP="28F76620" w:rsidRDefault="28F76620" w14:paraId="36C446EF" w14:textId="6D5B88D0">
      <w:pPr>
        <w:rPr>
          <w:rFonts w:ascii="Aptos" w:hAnsi="Aptos" w:eastAsia="Aptos" w:cs="Aptos"/>
          <w:color w:val="000000" w:themeColor="text1" w:themeTint="FF" w:themeShade="FF"/>
        </w:rPr>
      </w:pPr>
    </w:p>
    <w:p w:rsidR="28F76620" w:rsidP="28F76620" w:rsidRDefault="28F76620" w14:paraId="5B5A1678" w14:textId="233E906C">
      <w:pPr>
        <w:rPr>
          <w:rFonts w:ascii="Aptos" w:hAnsi="Aptos" w:eastAsia="Aptos" w:cs="Aptos"/>
          <w:color w:val="000000" w:themeColor="text1" w:themeTint="FF" w:themeShade="FF"/>
        </w:rPr>
      </w:pPr>
    </w:p>
    <w:p w:rsidR="28F76620" w:rsidP="28F76620" w:rsidRDefault="28F76620" w14:paraId="5999DF85" w14:textId="0788D2CD">
      <w:pPr>
        <w:rPr>
          <w:rFonts w:ascii="Aptos" w:hAnsi="Aptos" w:eastAsia="Aptos" w:cs="Aptos"/>
          <w:color w:val="000000" w:themeColor="text1" w:themeTint="FF" w:themeShade="FF"/>
        </w:rPr>
      </w:pPr>
    </w:p>
    <w:p w:rsidRPr="00F0158E" w:rsidR="002B48E1" w:rsidP="28F76620" w:rsidRDefault="1EDECF99" w14:paraId="59249EBE" w14:textId="77777777">
      <w:pPr>
        <w:pStyle w:val="Titre3"/>
        <w:rPr>
          <w:rFonts w:ascii="Aptos" w:hAnsi="Aptos" w:eastAsia="Aptos" w:cs="Aptos"/>
          <w:color w:val="auto"/>
        </w:rPr>
      </w:pPr>
      <w:r w:rsidRPr="28F76620" w:rsidR="1EDECF99">
        <w:rPr>
          <w:color w:val="auto"/>
        </w:rPr>
        <w:t xml:space="preserve">Carte d’identité de l’intervention </w:t>
      </w:r>
    </w:p>
    <w:tbl>
      <w:tblPr>
        <w:tblStyle w:val="Grilledutableau"/>
        <w:tblW w:w="0" w:type="auto"/>
        <w:tblBorders>
          <w:top w:val="single" w:color="000000" w:sz="6" w:space="0"/>
          <w:left w:val="single" w:color="000000" w:sz="6" w:space="0"/>
          <w:bottom w:val="single" w:color="000000" w:sz="6" w:space="0"/>
          <w:right w:val="single" w:color="000000" w:sz="6" w:space="0"/>
        </w:tblBorders>
        <w:tblLayout w:type="fixed"/>
        <w:tblLook w:val="04A0" w:firstRow="1" w:lastRow="0" w:firstColumn="1" w:lastColumn="0" w:noHBand="0" w:noVBand="1"/>
      </w:tblPr>
      <w:tblGrid>
        <w:gridCol w:w="4530"/>
        <w:gridCol w:w="4530"/>
      </w:tblGrid>
      <w:tr w:rsidRPr="00F0158E" w:rsidR="00F0158E" w:rsidTr="6764C8A6" w14:paraId="597978B5" w14:textId="77777777">
        <w:trPr>
          <w:trHeight w:val="300"/>
        </w:trPr>
        <w:tc>
          <w:tcPr>
            <w:tcW w:w="4530" w:type="dxa"/>
            <w:tcBorders>
              <w:top w:val="single" w:color="000000" w:themeColor="text1" w:sz="6" w:space="0"/>
              <w:left w:val="single" w:color="000000" w:themeColor="text1" w:sz="6" w:space="0"/>
            </w:tcBorders>
            <w:tcMar>
              <w:left w:w="105" w:type="dxa"/>
              <w:right w:w="105" w:type="dxa"/>
            </w:tcMar>
          </w:tcPr>
          <w:p w:rsidRPr="00F0158E" w:rsidR="002B48E1" w:rsidP="1EDECF99" w:rsidRDefault="1EDECF99" w14:paraId="6A56F0DF" w14:textId="77777777">
            <w:pPr>
              <w:rPr>
                <w:rFonts w:ascii="Aptos" w:hAnsi="Aptos" w:eastAsia="Aptos" w:cs="Aptos"/>
                <w:color w:val="000000" w:themeColor="text1"/>
              </w:rPr>
            </w:pPr>
            <w:r w:rsidRPr="00F0158E">
              <w:rPr>
                <w:rFonts w:ascii="Aptos" w:hAnsi="Aptos" w:eastAsia="Aptos" w:cs="Aptos"/>
                <w:color w:val="000000" w:themeColor="text1"/>
              </w:rPr>
              <w:t xml:space="preserve">Intervention </w:t>
            </w:r>
          </w:p>
        </w:tc>
        <w:tc>
          <w:tcPr>
            <w:tcW w:w="4530" w:type="dxa"/>
            <w:tcBorders>
              <w:top w:val="single" w:color="000000" w:themeColor="text1" w:sz="6" w:space="0"/>
              <w:right w:val="single" w:color="000000" w:themeColor="text1" w:sz="6" w:space="0"/>
            </w:tcBorders>
            <w:tcMar>
              <w:left w:w="105" w:type="dxa"/>
              <w:right w:w="105" w:type="dxa"/>
            </w:tcMar>
          </w:tcPr>
          <w:p w:rsidRPr="00F0158E" w:rsidR="002B48E1" w:rsidP="1EDECF99" w:rsidRDefault="1EDECF99" w14:paraId="1552B828" w14:textId="77777777">
            <w:pPr>
              <w:rPr>
                <w:rFonts w:ascii="Aptos" w:hAnsi="Aptos" w:eastAsia="Aptos" w:cs="Aptos"/>
                <w:color w:val="000000" w:themeColor="text1"/>
              </w:rPr>
            </w:pPr>
            <w:r w:rsidRPr="00F0158E">
              <w:rPr>
                <w:rFonts w:ascii="Aptos" w:hAnsi="Aptos" w:eastAsia="Aptos" w:cs="Aptos"/>
                <w:color w:val="000000" w:themeColor="text1"/>
              </w:rPr>
              <w:t xml:space="preserve">Etudiants Relais </w:t>
            </w:r>
            <w:proofErr w:type="spellStart"/>
            <w:r w:rsidRPr="00F0158E">
              <w:rPr>
                <w:rFonts w:ascii="Aptos" w:hAnsi="Aptos" w:eastAsia="Aptos" w:cs="Aptos"/>
                <w:color w:val="000000" w:themeColor="text1"/>
              </w:rPr>
              <w:t>Addicto</w:t>
            </w:r>
            <w:proofErr w:type="spellEnd"/>
          </w:p>
        </w:tc>
      </w:tr>
      <w:tr w:rsidRPr="00F0158E" w:rsidR="00F0158E" w:rsidTr="6764C8A6" w14:paraId="0390A19B" w14:textId="77777777">
        <w:trPr>
          <w:trHeight w:val="300"/>
        </w:trPr>
        <w:tc>
          <w:tcPr>
            <w:tcW w:w="4530" w:type="dxa"/>
            <w:tcBorders>
              <w:left w:val="single" w:color="000000" w:themeColor="text1" w:sz="6" w:space="0"/>
            </w:tcBorders>
            <w:tcMar>
              <w:left w:w="105" w:type="dxa"/>
              <w:right w:w="105" w:type="dxa"/>
            </w:tcMar>
          </w:tcPr>
          <w:p w:rsidRPr="00F0158E" w:rsidR="002B48E1" w:rsidP="1EDECF99" w:rsidRDefault="1EDECF99" w14:paraId="17021445" w14:textId="77777777">
            <w:pPr>
              <w:rPr>
                <w:rFonts w:ascii="Aptos" w:hAnsi="Aptos" w:eastAsia="Aptos" w:cs="Aptos"/>
                <w:color w:val="000000" w:themeColor="text1"/>
              </w:rPr>
            </w:pPr>
            <w:r w:rsidRPr="00F0158E">
              <w:rPr>
                <w:rFonts w:ascii="Aptos" w:hAnsi="Aptos" w:eastAsia="Aptos" w:cs="Aptos"/>
                <w:color w:val="000000" w:themeColor="text1"/>
              </w:rPr>
              <w:t>Porteur</w:t>
            </w:r>
          </w:p>
        </w:tc>
        <w:tc>
          <w:tcPr>
            <w:tcW w:w="4530" w:type="dxa"/>
            <w:tcBorders>
              <w:right w:val="single" w:color="000000" w:themeColor="text1" w:sz="6" w:space="0"/>
            </w:tcBorders>
            <w:tcMar>
              <w:left w:w="105" w:type="dxa"/>
              <w:right w:w="105" w:type="dxa"/>
            </w:tcMar>
          </w:tcPr>
          <w:p w:rsidRPr="00F0158E" w:rsidR="002B48E1" w:rsidP="1EDECF99" w:rsidRDefault="1EDECF99" w14:paraId="043D9301" w14:textId="77777777">
            <w:pPr>
              <w:rPr>
                <w:rFonts w:ascii="Aptos" w:hAnsi="Aptos" w:eastAsia="Aptos" w:cs="Aptos"/>
                <w:color w:val="000000" w:themeColor="text1"/>
              </w:rPr>
            </w:pPr>
            <w:r w:rsidRPr="00F0158E">
              <w:rPr>
                <w:rFonts w:ascii="Aptos" w:hAnsi="Aptos" w:eastAsia="Aptos" w:cs="Aptos"/>
                <w:color w:val="000000" w:themeColor="text1"/>
              </w:rPr>
              <w:t xml:space="preserve">Association Ithaque  </w:t>
            </w:r>
          </w:p>
        </w:tc>
      </w:tr>
      <w:tr w:rsidRPr="00F0158E" w:rsidR="00F0158E" w:rsidTr="6764C8A6" w14:paraId="2FEDC95E" w14:textId="77777777">
        <w:trPr>
          <w:trHeight w:val="300"/>
        </w:trPr>
        <w:tc>
          <w:tcPr>
            <w:tcW w:w="4530" w:type="dxa"/>
            <w:tcBorders>
              <w:left w:val="single" w:color="000000" w:themeColor="text1" w:sz="6" w:space="0"/>
            </w:tcBorders>
            <w:tcMar>
              <w:left w:w="105" w:type="dxa"/>
              <w:right w:w="105" w:type="dxa"/>
            </w:tcMar>
          </w:tcPr>
          <w:p w:rsidRPr="00F0158E" w:rsidR="002B48E1" w:rsidP="1EDECF99" w:rsidRDefault="1EDECF99" w14:paraId="1802607C" w14:textId="77777777">
            <w:pPr>
              <w:rPr>
                <w:rFonts w:ascii="Aptos" w:hAnsi="Aptos" w:eastAsia="Aptos" w:cs="Aptos"/>
                <w:color w:val="000000" w:themeColor="text1"/>
              </w:rPr>
            </w:pPr>
            <w:r w:rsidRPr="00F0158E">
              <w:rPr>
                <w:rFonts w:ascii="Aptos" w:hAnsi="Aptos" w:eastAsia="Aptos" w:cs="Aptos"/>
                <w:color w:val="000000" w:themeColor="text1"/>
              </w:rPr>
              <w:t>Thématique</w:t>
            </w:r>
          </w:p>
        </w:tc>
        <w:tc>
          <w:tcPr>
            <w:tcW w:w="4530" w:type="dxa"/>
            <w:tcBorders>
              <w:right w:val="single" w:color="000000" w:themeColor="text1" w:sz="6" w:space="0"/>
            </w:tcBorders>
            <w:tcMar>
              <w:left w:w="105" w:type="dxa"/>
              <w:right w:w="105" w:type="dxa"/>
            </w:tcMar>
          </w:tcPr>
          <w:p w:rsidRPr="00F0158E" w:rsidR="002B48E1" w:rsidP="6764C8A6" w:rsidRDefault="1EDECF99" w14:paraId="7DA4C5A0" w14:textId="77777777">
            <w:pPr>
              <w:rPr>
                <w:rFonts w:ascii="Aptos" w:hAnsi="Aptos" w:eastAsia="Aptos" w:cs="Aptos"/>
                <w:color w:val="000000" w:themeColor="text1"/>
              </w:rPr>
            </w:pPr>
            <w:r w:rsidRPr="00F0158E">
              <w:rPr>
                <w:rFonts w:ascii="Aptos" w:hAnsi="Aptos" w:eastAsia="Aptos" w:cs="Aptos"/>
                <w:color w:val="000000" w:themeColor="text1"/>
              </w:rPr>
              <w:t>Addictions (consommations) - santé mentale - santé sexuelle</w:t>
            </w:r>
          </w:p>
        </w:tc>
      </w:tr>
      <w:tr w:rsidRPr="00F0158E" w:rsidR="00F0158E" w:rsidTr="6764C8A6" w14:paraId="5485C312" w14:textId="77777777">
        <w:trPr>
          <w:trHeight w:val="300"/>
        </w:trPr>
        <w:tc>
          <w:tcPr>
            <w:tcW w:w="4530" w:type="dxa"/>
            <w:tcBorders>
              <w:left w:val="single" w:color="000000" w:themeColor="text1" w:sz="6" w:space="0"/>
            </w:tcBorders>
            <w:tcMar>
              <w:left w:w="105" w:type="dxa"/>
              <w:right w:w="105" w:type="dxa"/>
            </w:tcMar>
          </w:tcPr>
          <w:p w:rsidRPr="00F0158E" w:rsidR="002B48E1" w:rsidP="1EDECF99" w:rsidRDefault="1EDECF99" w14:paraId="3F46834A" w14:textId="77777777">
            <w:pPr>
              <w:rPr>
                <w:rFonts w:ascii="Aptos" w:hAnsi="Aptos" w:eastAsia="Aptos" w:cs="Aptos"/>
                <w:color w:val="000000" w:themeColor="text1"/>
              </w:rPr>
            </w:pPr>
            <w:r w:rsidRPr="00F0158E">
              <w:rPr>
                <w:rFonts w:ascii="Aptos" w:hAnsi="Aptos" w:eastAsia="Aptos" w:cs="Aptos"/>
                <w:color w:val="000000" w:themeColor="text1"/>
              </w:rPr>
              <w:t>Population cible</w:t>
            </w:r>
          </w:p>
        </w:tc>
        <w:tc>
          <w:tcPr>
            <w:tcW w:w="4530" w:type="dxa"/>
            <w:tcBorders>
              <w:right w:val="single" w:color="000000" w:themeColor="text1" w:sz="6" w:space="0"/>
            </w:tcBorders>
            <w:tcMar>
              <w:left w:w="105" w:type="dxa"/>
              <w:right w:w="105" w:type="dxa"/>
            </w:tcMar>
          </w:tcPr>
          <w:p w:rsidRPr="00F0158E" w:rsidR="002B48E1" w:rsidP="1EDECF99" w:rsidRDefault="1EDECF99" w14:paraId="61FA53E2" w14:textId="77777777">
            <w:pPr>
              <w:rPr>
                <w:rFonts w:ascii="Aptos" w:hAnsi="Aptos" w:eastAsia="Aptos" w:cs="Aptos"/>
                <w:color w:val="000000" w:themeColor="text1"/>
              </w:rPr>
            </w:pPr>
            <w:r w:rsidRPr="00F0158E">
              <w:rPr>
                <w:rFonts w:ascii="Aptos" w:hAnsi="Aptos" w:eastAsia="Aptos" w:cs="Aptos"/>
                <w:color w:val="000000" w:themeColor="text1"/>
              </w:rPr>
              <w:t>Etudiants de l’</w:t>
            </w:r>
            <w:proofErr w:type="spellStart"/>
            <w:r w:rsidRPr="00F0158E">
              <w:rPr>
                <w:rFonts w:ascii="Aptos" w:hAnsi="Aptos" w:eastAsia="Aptos" w:cs="Aptos"/>
                <w:color w:val="000000" w:themeColor="text1"/>
              </w:rPr>
              <w:t>Unistra</w:t>
            </w:r>
            <w:proofErr w:type="spellEnd"/>
            <w:r w:rsidRPr="00F0158E">
              <w:rPr>
                <w:rFonts w:ascii="Aptos" w:hAnsi="Aptos" w:eastAsia="Aptos" w:cs="Aptos"/>
                <w:color w:val="000000" w:themeColor="text1"/>
              </w:rPr>
              <w:t>, des établissements associés et partenaires et au-delà (autres à hauteur de 25%)</w:t>
            </w:r>
          </w:p>
        </w:tc>
      </w:tr>
      <w:tr w:rsidRPr="00F0158E" w:rsidR="00F0158E" w:rsidTr="6764C8A6" w14:paraId="1E0BF336" w14:textId="77777777">
        <w:trPr>
          <w:trHeight w:val="300"/>
        </w:trPr>
        <w:tc>
          <w:tcPr>
            <w:tcW w:w="4530" w:type="dxa"/>
            <w:tcBorders>
              <w:left w:val="single" w:color="000000" w:themeColor="text1" w:sz="6" w:space="0"/>
            </w:tcBorders>
            <w:tcMar>
              <w:left w:w="105" w:type="dxa"/>
              <w:right w:w="105" w:type="dxa"/>
            </w:tcMar>
          </w:tcPr>
          <w:p w:rsidRPr="00F0158E" w:rsidR="002B48E1" w:rsidP="1EDECF99" w:rsidRDefault="1EDECF99" w14:paraId="282B287C" w14:textId="77777777">
            <w:pPr>
              <w:rPr>
                <w:rFonts w:ascii="Aptos" w:hAnsi="Aptos" w:eastAsia="Aptos" w:cs="Aptos"/>
                <w:color w:val="000000" w:themeColor="text1"/>
              </w:rPr>
            </w:pPr>
            <w:r w:rsidRPr="00F0158E">
              <w:rPr>
                <w:rFonts w:ascii="Aptos" w:hAnsi="Aptos" w:eastAsia="Aptos" w:cs="Aptos"/>
                <w:color w:val="000000" w:themeColor="text1"/>
              </w:rPr>
              <w:t>Dates du projet</w:t>
            </w:r>
          </w:p>
        </w:tc>
        <w:tc>
          <w:tcPr>
            <w:tcW w:w="4530" w:type="dxa"/>
            <w:tcBorders>
              <w:right w:val="single" w:color="000000" w:themeColor="text1" w:sz="6" w:space="0"/>
            </w:tcBorders>
            <w:tcMar>
              <w:left w:w="105" w:type="dxa"/>
              <w:right w:w="105" w:type="dxa"/>
            </w:tcMar>
          </w:tcPr>
          <w:p w:rsidRPr="00F0158E" w:rsidR="002B48E1" w:rsidP="1EDECF99" w:rsidRDefault="1EDECF99" w14:paraId="2239ABE3" w14:textId="77777777">
            <w:pPr>
              <w:rPr>
                <w:rFonts w:ascii="Aptos" w:hAnsi="Aptos" w:eastAsia="Aptos" w:cs="Aptos"/>
                <w:color w:val="000000" w:themeColor="text1"/>
              </w:rPr>
            </w:pPr>
            <w:r w:rsidRPr="00F0158E">
              <w:rPr>
                <w:rFonts w:ascii="Aptos" w:hAnsi="Aptos" w:eastAsia="Aptos" w:cs="Aptos"/>
                <w:color w:val="000000" w:themeColor="text1"/>
              </w:rPr>
              <w:t>Travail initié en 2021, conventionnement depuis 2023</w:t>
            </w:r>
          </w:p>
        </w:tc>
      </w:tr>
      <w:tr w:rsidRPr="00F0158E" w:rsidR="00F0158E" w:rsidTr="6764C8A6" w14:paraId="6F41E9EE" w14:textId="77777777">
        <w:trPr>
          <w:trHeight w:val="300"/>
        </w:trPr>
        <w:tc>
          <w:tcPr>
            <w:tcW w:w="4530" w:type="dxa"/>
            <w:tcBorders>
              <w:left w:val="single" w:color="000000" w:themeColor="text1" w:sz="6" w:space="0"/>
            </w:tcBorders>
            <w:tcMar>
              <w:left w:w="105" w:type="dxa"/>
              <w:right w:w="105" w:type="dxa"/>
            </w:tcMar>
          </w:tcPr>
          <w:p w:rsidRPr="00F0158E" w:rsidR="002B48E1" w:rsidP="1EDECF99" w:rsidRDefault="1EDECF99" w14:paraId="2B0F5C3B" w14:textId="77777777">
            <w:pPr>
              <w:rPr>
                <w:rFonts w:ascii="Aptos" w:hAnsi="Aptos" w:eastAsia="Aptos" w:cs="Aptos"/>
                <w:color w:val="000000" w:themeColor="text1"/>
              </w:rPr>
            </w:pPr>
            <w:r w:rsidRPr="00F0158E">
              <w:rPr>
                <w:rFonts w:ascii="Aptos" w:hAnsi="Aptos" w:eastAsia="Aptos" w:cs="Aptos"/>
                <w:color w:val="000000" w:themeColor="text1"/>
              </w:rPr>
              <w:t>Région</w:t>
            </w:r>
          </w:p>
        </w:tc>
        <w:tc>
          <w:tcPr>
            <w:tcW w:w="4530" w:type="dxa"/>
            <w:tcBorders>
              <w:right w:val="single" w:color="000000" w:themeColor="text1" w:sz="6" w:space="0"/>
            </w:tcBorders>
            <w:tcMar>
              <w:left w:w="105" w:type="dxa"/>
              <w:right w:w="105" w:type="dxa"/>
            </w:tcMar>
          </w:tcPr>
          <w:p w:rsidRPr="00F0158E" w:rsidR="002B48E1" w:rsidP="1EDECF99" w:rsidRDefault="1EDECF99" w14:paraId="1E8D3CDB" w14:textId="77777777">
            <w:pPr>
              <w:rPr>
                <w:rFonts w:ascii="Aptos" w:hAnsi="Aptos" w:eastAsia="Aptos" w:cs="Aptos"/>
                <w:color w:val="000000" w:themeColor="text1"/>
              </w:rPr>
            </w:pPr>
            <w:r w:rsidRPr="00F0158E">
              <w:rPr>
                <w:rFonts w:ascii="Aptos" w:hAnsi="Aptos" w:eastAsia="Aptos" w:cs="Aptos"/>
                <w:color w:val="000000" w:themeColor="text1"/>
              </w:rPr>
              <w:t xml:space="preserve">Grand Est </w:t>
            </w:r>
          </w:p>
        </w:tc>
      </w:tr>
      <w:tr w:rsidRPr="00F0158E" w:rsidR="00F0158E" w:rsidTr="6764C8A6" w14:paraId="63934EF2" w14:textId="77777777">
        <w:trPr>
          <w:trHeight w:val="300"/>
        </w:trPr>
        <w:tc>
          <w:tcPr>
            <w:tcW w:w="4530" w:type="dxa"/>
            <w:tcBorders>
              <w:left w:val="single" w:color="000000" w:themeColor="text1" w:sz="6" w:space="0"/>
            </w:tcBorders>
            <w:tcMar>
              <w:left w:w="105" w:type="dxa"/>
              <w:right w:w="105" w:type="dxa"/>
            </w:tcMar>
          </w:tcPr>
          <w:p w:rsidRPr="00F0158E" w:rsidR="002B48E1" w:rsidP="1EDECF99" w:rsidRDefault="1EDECF99" w14:paraId="6BA4AE47" w14:textId="77777777">
            <w:pPr>
              <w:rPr>
                <w:rFonts w:ascii="Aptos" w:hAnsi="Aptos" w:eastAsia="Aptos" w:cs="Aptos"/>
                <w:color w:val="000000" w:themeColor="text1"/>
              </w:rPr>
            </w:pPr>
            <w:r w:rsidRPr="00F0158E">
              <w:rPr>
                <w:rFonts w:ascii="Aptos" w:hAnsi="Aptos" w:eastAsia="Aptos" w:cs="Aptos"/>
                <w:color w:val="000000" w:themeColor="text1"/>
              </w:rPr>
              <w:t>Niveau de déploiement</w:t>
            </w:r>
          </w:p>
        </w:tc>
        <w:tc>
          <w:tcPr>
            <w:tcW w:w="4530" w:type="dxa"/>
            <w:tcBorders>
              <w:right w:val="single" w:color="000000" w:themeColor="text1" w:sz="6" w:space="0"/>
            </w:tcBorders>
            <w:tcMar>
              <w:left w:w="105" w:type="dxa"/>
              <w:right w:w="105" w:type="dxa"/>
            </w:tcMar>
          </w:tcPr>
          <w:p w:rsidRPr="00F0158E" w:rsidR="002B48E1" w:rsidP="1EDECF99" w:rsidRDefault="1EDECF99" w14:paraId="1BAD80B1" w14:textId="77777777">
            <w:pPr>
              <w:rPr>
                <w:rFonts w:ascii="Aptos" w:hAnsi="Aptos" w:eastAsia="Aptos" w:cs="Aptos"/>
                <w:color w:val="000000" w:themeColor="text1"/>
              </w:rPr>
            </w:pPr>
            <w:r w:rsidRPr="00F0158E">
              <w:rPr>
                <w:rFonts w:ascii="Aptos" w:hAnsi="Aptos" w:eastAsia="Aptos" w:cs="Aptos"/>
                <w:color w:val="000000" w:themeColor="text1"/>
              </w:rPr>
              <w:t xml:space="preserve">Département du 67, notamment basé </w:t>
            </w:r>
            <w:proofErr w:type="gramStart"/>
            <w:r w:rsidRPr="00F0158E">
              <w:rPr>
                <w:rFonts w:ascii="Aptos" w:hAnsi="Aptos" w:eastAsia="Aptos" w:cs="Aptos"/>
                <w:color w:val="000000" w:themeColor="text1"/>
              </w:rPr>
              <w:t>sur</w:t>
            </w:r>
            <w:proofErr w:type="gramEnd"/>
            <w:r w:rsidRPr="00F0158E">
              <w:rPr>
                <w:rFonts w:ascii="Aptos" w:hAnsi="Aptos" w:eastAsia="Aptos" w:cs="Aptos"/>
                <w:color w:val="000000" w:themeColor="text1"/>
              </w:rPr>
              <w:t xml:space="preserve"> Strasbourg</w:t>
            </w:r>
          </w:p>
        </w:tc>
      </w:tr>
      <w:tr w:rsidRPr="00F0158E" w:rsidR="00F0158E" w:rsidTr="6764C8A6" w14:paraId="4E751E85" w14:textId="77777777">
        <w:trPr>
          <w:trHeight w:val="300"/>
        </w:trPr>
        <w:tc>
          <w:tcPr>
            <w:tcW w:w="4530" w:type="dxa"/>
            <w:tcBorders>
              <w:left w:val="single" w:color="000000" w:themeColor="text1" w:sz="6" w:space="0"/>
            </w:tcBorders>
            <w:tcMar>
              <w:left w:w="105" w:type="dxa"/>
              <w:right w:w="105" w:type="dxa"/>
            </w:tcMar>
          </w:tcPr>
          <w:p w:rsidRPr="00F0158E" w:rsidR="002B48E1" w:rsidP="1EDECF99" w:rsidRDefault="1EDECF99" w14:paraId="2EE13460" w14:textId="77777777">
            <w:pPr>
              <w:rPr>
                <w:rFonts w:ascii="Aptos" w:hAnsi="Aptos" w:eastAsia="Aptos" w:cs="Aptos"/>
                <w:color w:val="000000" w:themeColor="text1"/>
              </w:rPr>
            </w:pPr>
            <w:r w:rsidRPr="00F0158E">
              <w:rPr>
                <w:rFonts w:ascii="Aptos" w:hAnsi="Aptos" w:eastAsia="Aptos" w:cs="Aptos"/>
                <w:color w:val="000000" w:themeColor="text1"/>
              </w:rPr>
              <w:t>Principaux partenaires</w:t>
            </w:r>
          </w:p>
        </w:tc>
        <w:tc>
          <w:tcPr>
            <w:tcW w:w="4530" w:type="dxa"/>
            <w:tcBorders>
              <w:right w:val="single" w:color="000000" w:themeColor="text1" w:sz="6" w:space="0"/>
            </w:tcBorders>
            <w:tcMar>
              <w:left w:w="105" w:type="dxa"/>
              <w:right w:w="105" w:type="dxa"/>
            </w:tcMar>
          </w:tcPr>
          <w:p w:rsidRPr="00F0158E" w:rsidR="002B48E1" w:rsidP="1EDECF99" w:rsidRDefault="1EDECF99" w14:paraId="4CBD795F" w14:textId="77777777">
            <w:pPr>
              <w:rPr>
                <w:rFonts w:ascii="Aptos" w:hAnsi="Aptos" w:eastAsia="Aptos" w:cs="Aptos"/>
                <w:color w:val="000000" w:themeColor="text1"/>
              </w:rPr>
            </w:pPr>
            <w:r w:rsidRPr="00F0158E">
              <w:rPr>
                <w:rFonts w:ascii="Aptos" w:hAnsi="Aptos" w:eastAsia="Aptos" w:cs="Aptos"/>
                <w:color w:val="000000" w:themeColor="text1"/>
              </w:rPr>
              <w:t>SSE de l’</w:t>
            </w:r>
            <w:proofErr w:type="spellStart"/>
            <w:r w:rsidRPr="00F0158E">
              <w:rPr>
                <w:rFonts w:ascii="Aptos" w:hAnsi="Aptos" w:eastAsia="Aptos" w:cs="Aptos"/>
                <w:color w:val="000000" w:themeColor="text1"/>
              </w:rPr>
              <w:t>UniStra</w:t>
            </w:r>
            <w:proofErr w:type="spellEnd"/>
            <w:r w:rsidRPr="00F0158E">
              <w:rPr>
                <w:rFonts w:ascii="Aptos" w:hAnsi="Aptos" w:eastAsia="Aptos" w:cs="Aptos"/>
                <w:color w:val="000000" w:themeColor="text1"/>
              </w:rPr>
              <w:t>, association Cop’1 (précarité alimentaire) et CROUS</w:t>
            </w:r>
          </w:p>
        </w:tc>
      </w:tr>
      <w:tr w:rsidRPr="00F0158E" w:rsidR="00F0158E" w:rsidTr="6764C8A6" w14:paraId="57BD50FA" w14:textId="77777777">
        <w:trPr>
          <w:trHeight w:val="300"/>
        </w:trPr>
        <w:tc>
          <w:tcPr>
            <w:tcW w:w="4530" w:type="dxa"/>
            <w:tcBorders>
              <w:left w:val="single" w:color="000000" w:themeColor="text1" w:sz="6" w:space="0"/>
            </w:tcBorders>
            <w:tcMar>
              <w:left w:w="105" w:type="dxa"/>
              <w:right w:w="105" w:type="dxa"/>
            </w:tcMar>
          </w:tcPr>
          <w:p w:rsidRPr="00F0158E" w:rsidR="002B48E1" w:rsidP="1EDECF99" w:rsidRDefault="1EDECF99" w14:paraId="242F9C4E" w14:textId="77777777">
            <w:pPr>
              <w:rPr>
                <w:rFonts w:ascii="Aptos" w:hAnsi="Aptos" w:eastAsia="Aptos" w:cs="Aptos"/>
                <w:color w:val="000000" w:themeColor="text1"/>
              </w:rPr>
            </w:pPr>
            <w:r w:rsidRPr="00F0158E">
              <w:rPr>
                <w:rFonts w:ascii="Aptos" w:hAnsi="Aptos" w:eastAsia="Aptos" w:cs="Aptos"/>
                <w:color w:val="000000" w:themeColor="text1"/>
              </w:rPr>
              <w:lastRenderedPageBreak/>
              <w:t>Objectifs</w:t>
            </w:r>
          </w:p>
        </w:tc>
        <w:tc>
          <w:tcPr>
            <w:tcW w:w="4530" w:type="dxa"/>
            <w:tcBorders>
              <w:right w:val="single" w:color="000000" w:themeColor="text1" w:sz="6" w:space="0"/>
            </w:tcBorders>
            <w:tcMar>
              <w:left w:w="105" w:type="dxa"/>
              <w:right w:w="105" w:type="dxa"/>
            </w:tcMar>
          </w:tcPr>
          <w:p w:rsidRPr="00F0158E" w:rsidR="002B48E1" w:rsidP="1EDECF99" w:rsidRDefault="292EA21E" w14:paraId="18B2F838" w14:textId="102B887A">
            <w:pPr>
              <w:keepNext/>
              <w:keepLines/>
              <w:rPr>
                <w:color w:val="000000" w:themeColor="text1"/>
              </w:rPr>
            </w:pPr>
            <w:r w:rsidRPr="00F0158E">
              <w:rPr>
                <w:color w:val="000000" w:themeColor="text1"/>
              </w:rPr>
              <w:t xml:space="preserve">•Accueillir la parole des </w:t>
            </w:r>
            <w:proofErr w:type="spellStart"/>
            <w:r w:rsidRPr="00F0158E">
              <w:rPr>
                <w:color w:val="000000" w:themeColor="text1"/>
              </w:rPr>
              <w:t>étudiant.</w:t>
            </w:r>
            <w:proofErr w:type="gramStart"/>
            <w:r w:rsidRPr="00F0158E">
              <w:rPr>
                <w:color w:val="000000" w:themeColor="text1"/>
              </w:rPr>
              <w:t>e.s</w:t>
            </w:r>
            <w:proofErr w:type="spellEnd"/>
            <w:proofErr w:type="gramEnd"/>
            <w:r w:rsidRPr="00F0158E">
              <w:rPr>
                <w:color w:val="000000" w:themeColor="text1"/>
              </w:rPr>
              <w:t xml:space="preserve"> sans jugement</w:t>
            </w:r>
          </w:p>
          <w:p w:rsidRPr="00F0158E" w:rsidR="002B48E1" w:rsidP="1EDECF99" w:rsidRDefault="292EA21E" w14:paraId="4E7B3ED0" w14:textId="6A6C73CD">
            <w:pPr>
              <w:keepNext/>
              <w:keepLines/>
              <w:rPr>
                <w:color w:val="000000" w:themeColor="text1"/>
              </w:rPr>
            </w:pPr>
            <w:r w:rsidRPr="00F0158E">
              <w:rPr>
                <w:color w:val="000000" w:themeColor="text1"/>
              </w:rPr>
              <w:t>•Diffuser les principes de réduction des risques</w:t>
            </w:r>
          </w:p>
          <w:p w:rsidRPr="00F0158E" w:rsidR="002B48E1" w:rsidP="1EDECF99" w:rsidRDefault="292EA21E" w14:paraId="139D8E11" w14:textId="02C80495">
            <w:pPr>
              <w:keepNext/>
              <w:keepLines/>
              <w:rPr>
                <w:color w:val="000000" w:themeColor="text1"/>
              </w:rPr>
            </w:pPr>
            <w:r w:rsidRPr="00F0158E">
              <w:rPr>
                <w:color w:val="000000" w:themeColor="text1"/>
              </w:rPr>
              <w:t>•Informer sur les produits, les pratiques et les addictions</w:t>
            </w:r>
          </w:p>
          <w:p w:rsidRPr="00F0158E" w:rsidR="002B48E1" w:rsidP="1EDECF99" w:rsidRDefault="292EA21E" w14:paraId="3C9527B8" w14:textId="32A5D2A7">
            <w:pPr>
              <w:keepNext/>
              <w:keepLines/>
              <w:rPr>
                <w:color w:val="000000" w:themeColor="text1"/>
              </w:rPr>
            </w:pPr>
            <w:r w:rsidRPr="00F0158E">
              <w:rPr>
                <w:color w:val="000000" w:themeColor="text1"/>
              </w:rPr>
              <w:t xml:space="preserve">•Accompagner la fête étudiante et sécuriser les pratiques des organisateurs </w:t>
            </w:r>
          </w:p>
          <w:p w:rsidRPr="00F0158E" w:rsidR="002B48E1" w:rsidP="1EDECF99" w:rsidRDefault="72F40B96" w14:paraId="54B42D38" w14:textId="69B01926">
            <w:pPr>
              <w:keepNext/>
              <w:keepLines/>
              <w:rPr>
                <w:color w:val="000000" w:themeColor="text1"/>
              </w:rPr>
            </w:pPr>
            <w:r w:rsidRPr="00F0158E">
              <w:rPr>
                <w:color w:val="000000" w:themeColor="text1"/>
              </w:rPr>
              <w:t>•Participer à la mise en place d’un environnement protecteur vis-à-vis des consommations avec du matériel adapté et un stand de réduction des risques sur les lieux de fêtes</w:t>
            </w:r>
          </w:p>
        </w:tc>
      </w:tr>
      <w:tr w:rsidRPr="00F0158E" w:rsidR="00F0158E" w:rsidTr="6764C8A6" w14:paraId="5DA38F8C" w14:textId="77777777">
        <w:trPr>
          <w:trHeight w:val="300"/>
        </w:trPr>
        <w:tc>
          <w:tcPr>
            <w:tcW w:w="4530" w:type="dxa"/>
            <w:tcBorders>
              <w:left w:val="single" w:color="000000" w:themeColor="text1" w:sz="6" w:space="0"/>
            </w:tcBorders>
            <w:tcMar>
              <w:left w:w="105" w:type="dxa"/>
              <w:right w:w="105" w:type="dxa"/>
            </w:tcMar>
          </w:tcPr>
          <w:p w:rsidRPr="00F0158E" w:rsidR="002B48E1" w:rsidP="1EDECF99" w:rsidRDefault="1EDECF99" w14:paraId="0698CC2B" w14:textId="77777777">
            <w:pPr>
              <w:rPr>
                <w:rFonts w:ascii="Aptos" w:hAnsi="Aptos" w:eastAsia="Aptos" w:cs="Aptos"/>
                <w:color w:val="000000" w:themeColor="text1"/>
              </w:rPr>
            </w:pPr>
            <w:r w:rsidRPr="00F0158E">
              <w:rPr>
                <w:rFonts w:ascii="Aptos" w:hAnsi="Aptos" w:eastAsia="Aptos" w:cs="Aptos"/>
                <w:color w:val="000000" w:themeColor="text1"/>
              </w:rPr>
              <w:t>Stratégies mobilisées</w:t>
            </w:r>
          </w:p>
        </w:tc>
        <w:tc>
          <w:tcPr>
            <w:tcW w:w="4530" w:type="dxa"/>
            <w:tcBorders>
              <w:right w:val="single" w:color="000000" w:themeColor="text1" w:sz="6" w:space="0"/>
            </w:tcBorders>
            <w:tcMar>
              <w:left w:w="105" w:type="dxa"/>
              <w:right w:w="105" w:type="dxa"/>
            </w:tcMar>
          </w:tcPr>
          <w:p w:rsidRPr="00F0158E" w:rsidR="002B48E1" w:rsidP="1EDECF99" w:rsidRDefault="1EDECF99" w14:paraId="4F18273D" w14:textId="77777777">
            <w:pPr>
              <w:rPr>
                <w:rFonts w:ascii="Aptos" w:hAnsi="Aptos" w:eastAsia="Aptos" w:cs="Aptos"/>
                <w:color w:val="000000" w:themeColor="text1"/>
              </w:rPr>
            </w:pPr>
            <w:r w:rsidRPr="00F0158E">
              <w:rPr>
                <w:rFonts w:ascii="Aptos" w:hAnsi="Aptos" w:eastAsia="Aptos" w:cs="Aptos"/>
                <w:color w:val="000000" w:themeColor="text1"/>
              </w:rPr>
              <w:t>Réduction des risques sur les produits et consos</w:t>
            </w:r>
          </w:p>
          <w:p w:rsidRPr="00F0158E" w:rsidR="002B48E1" w:rsidP="1EDECF99" w:rsidRDefault="1EDECF99" w14:paraId="334CE6CD" w14:textId="77777777">
            <w:pPr>
              <w:rPr>
                <w:rFonts w:ascii="Aptos" w:hAnsi="Aptos" w:eastAsia="Aptos" w:cs="Aptos"/>
                <w:color w:val="000000" w:themeColor="text1"/>
              </w:rPr>
            </w:pPr>
            <w:r w:rsidRPr="00F0158E">
              <w:rPr>
                <w:rFonts w:ascii="Aptos" w:hAnsi="Aptos" w:eastAsia="Aptos" w:cs="Aptos"/>
                <w:color w:val="000000" w:themeColor="text1"/>
              </w:rPr>
              <w:t>Aller-vers</w:t>
            </w:r>
          </w:p>
          <w:p w:rsidRPr="00F0158E" w:rsidR="002B48E1" w:rsidP="1EDECF99" w:rsidRDefault="1EDECF99" w14:paraId="3CACDAF6" w14:textId="77777777">
            <w:pPr>
              <w:rPr>
                <w:rFonts w:ascii="Aptos" w:hAnsi="Aptos" w:eastAsia="Aptos" w:cs="Aptos"/>
                <w:color w:val="000000" w:themeColor="text1"/>
              </w:rPr>
            </w:pPr>
            <w:r w:rsidRPr="00F0158E">
              <w:rPr>
                <w:rFonts w:ascii="Aptos" w:hAnsi="Aptos" w:eastAsia="Aptos" w:cs="Aptos"/>
                <w:color w:val="000000" w:themeColor="text1"/>
              </w:rPr>
              <w:t>Communication</w:t>
            </w:r>
          </w:p>
        </w:tc>
      </w:tr>
      <w:tr w:rsidRPr="00F0158E" w:rsidR="00F0158E" w:rsidTr="6764C8A6" w14:paraId="71B7EEE9" w14:textId="77777777">
        <w:trPr>
          <w:trHeight w:val="300"/>
        </w:trPr>
        <w:tc>
          <w:tcPr>
            <w:tcW w:w="4530" w:type="dxa"/>
            <w:tcBorders>
              <w:left w:val="single" w:color="000000" w:themeColor="text1" w:sz="6" w:space="0"/>
            </w:tcBorders>
            <w:tcMar>
              <w:left w:w="105" w:type="dxa"/>
              <w:right w:w="105" w:type="dxa"/>
            </w:tcMar>
          </w:tcPr>
          <w:p w:rsidRPr="00F0158E" w:rsidR="002B48E1" w:rsidP="1EDECF99" w:rsidRDefault="1EDECF99" w14:paraId="4E70C810" w14:textId="77777777">
            <w:pPr>
              <w:rPr>
                <w:rFonts w:ascii="Aptos" w:hAnsi="Aptos" w:eastAsia="Aptos" w:cs="Aptos"/>
                <w:color w:val="000000" w:themeColor="text1"/>
              </w:rPr>
            </w:pPr>
            <w:r w:rsidRPr="00F0158E">
              <w:rPr>
                <w:rFonts w:ascii="Aptos" w:hAnsi="Aptos" w:eastAsia="Aptos" w:cs="Aptos"/>
                <w:color w:val="000000" w:themeColor="text1"/>
              </w:rPr>
              <w:t>Contributrices</w:t>
            </w:r>
          </w:p>
        </w:tc>
        <w:tc>
          <w:tcPr>
            <w:tcW w:w="4530" w:type="dxa"/>
            <w:tcBorders>
              <w:right w:val="single" w:color="000000" w:themeColor="text1" w:sz="6" w:space="0"/>
            </w:tcBorders>
            <w:tcMar>
              <w:left w:w="105" w:type="dxa"/>
              <w:right w:w="105" w:type="dxa"/>
            </w:tcMar>
          </w:tcPr>
          <w:p w:rsidRPr="00F0158E" w:rsidR="002B48E1" w:rsidP="1EDECF99" w:rsidRDefault="1EDECF99" w14:paraId="63C8EE82" w14:textId="77777777">
            <w:pPr>
              <w:rPr>
                <w:rFonts w:ascii="Aptos" w:hAnsi="Aptos" w:eastAsia="Aptos" w:cs="Aptos"/>
                <w:color w:val="000000" w:themeColor="text1"/>
              </w:rPr>
            </w:pPr>
            <w:r w:rsidRPr="00F0158E">
              <w:rPr>
                <w:rFonts w:ascii="Aptos" w:hAnsi="Aptos" w:eastAsia="Aptos" w:cs="Aptos"/>
                <w:color w:val="000000" w:themeColor="text1"/>
              </w:rPr>
              <w:t xml:space="preserve">Hélène Beaucolin, chargée de projet SSE x Ithaque à l’association Ithaque </w:t>
            </w:r>
          </w:p>
          <w:p w:rsidRPr="00F0158E" w:rsidR="002B48E1" w:rsidP="1EDECF99" w:rsidRDefault="1EDECF99" w14:paraId="677A937A" w14:textId="77777777">
            <w:pPr>
              <w:rPr>
                <w:rFonts w:ascii="Aptos" w:hAnsi="Aptos" w:eastAsia="Aptos" w:cs="Aptos"/>
                <w:color w:val="000000" w:themeColor="text1"/>
              </w:rPr>
            </w:pPr>
            <w:hyperlink w:tooltip="mailto:h.beaucolin@ithaque-asso.fr" w:history="1" r:id="rId10">
              <w:r w:rsidRPr="00F0158E">
                <w:rPr>
                  <w:rStyle w:val="Lienhypertexte"/>
                  <w:rFonts w:ascii="Aptos" w:hAnsi="Aptos" w:eastAsia="Aptos" w:cs="Aptos"/>
                  <w:color w:val="000000" w:themeColor="text1"/>
                </w:rPr>
                <w:t>h.beaucolin@ithaque-asso.fr</w:t>
              </w:r>
            </w:hyperlink>
          </w:p>
          <w:p w:rsidRPr="00F0158E" w:rsidR="002B48E1" w:rsidP="1EDECF99" w:rsidRDefault="1EDECF99" w14:paraId="706BAB59" w14:textId="77777777">
            <w:pPr>
              <w:rPr>
                <w:rFonts w:ascii="Aptos" w:hAnsi="Aptos" w:eastAsia="Aptos" w:cs="Aptos"/>
                <w:color w:val="000000" w:themeColor="text1"/>
              </w:rPr>
            </w:pPr>
            <w:hyperlink w:tooltip="https://ithaque-asso.fr/" w:history="1" r:id="rId11">
              <w:r w:rsidRPr="00F0158E">
                <w:rPr>
                  <w:rStyle w:val="Lienhypertexte"/>
                  <w:rFonts w:ascii="Aptos" w:hAnsi="Aptos" w:eastAsia="Aptos" w:cs="Aptos"/>
                  <w:color w:val="000000" w:themeColor="text1"/>
                </w:rPr>
                <w:t>https://ithaque-asso.fr/</w:t>
              </w:r>
            </w:hyperlink>
            <w:r w:rsidRPr="00F0158E">
              <w:rPr>
                <w:rFonts w:ascii="Aptos" w:hAnsi="Aptos" w:eastAsia="Aptos" w:cs="Aptos"/>
                <w:color w:val="000000" w:themeColor="text1"/>
              </w:rPr>
              <w:t xml:space="preserve"> </w:t>
            </w:r>
          </w:p>
        </w:tc>
      </w:tr>
      <w:tr w:rsidRPr="00F0158E" w:rsidR="00F0158E" w:rsidTr="6764C8A6" w14:paraId="4CE80EC9" w14:textId="77777777">
        <w:trPr>
          <w:trHeight w:val="300"/>
        </w:trPr>
        <w:tc>
          <w:tcPr>
            <w:tcW w:w="4530" w:type="dxa"/>
            <w:tcBorders>
              <w:left w:val="single" w:color="000000" w:themeColor="text1" w:sz="6" w:space="0"/>
            </w:tcBorders>
            <w:tcMar>
              <w:left w:w="105" w:type="dxa"/>
              <w:right w:w="105" w:type="dxa"/>
            </w:tcMar>
          </w:tcPr>
          <w:p w:rsidRPr="00F0158E" w:rsidR="002B48E1" w:rsidP="1EDECF99" w:rsidRDefault="1EDECF99" w14:paraId="2F87CE79" w14:textId="77777777">
            <w:pPr>
              <w:rPr>
                <w:rFonts w:ascii="Aptos" w:hAnsi="Aptos" w:eastAsia="Aptos" w:cs="Aptos"/>
                <w:color w:val="000000" w:themeColor="text1"/>
              </w:rPr>
            </w:pPr>
            <w:r w:rsidRPr="00F0158E">
              <w:rPr>
                <w:rFonts w:ascii="Aptos" w:hAnsi="Aptos" w:eastAsia="Aptos" w:cs="Aptos"/>
                <w:color w:val="000000" w:themeColor="text1"/>
              </w:rPr>
              <w:t>Accompagnatrice</w:t>
            </w:r>
          </w:p>
        </w:tc>
        <w:tc>
          <w:tcPr>
            <w:tcW w:w="4530" w:type="dxa"/>
            <w:tcBorders>
              <w:right w:val="single" w:color="000000" w:themeColor="text1" w:sz="6" w:space="0"/>
            </w:tcBorders>
            <w:tcMar>
              <w:left w:w="105" w:type="dxa"/>
              <w:right w:w="105" w:type="dxa"/>
            </w:tcMar>
          </w:tcPr>
          <w:p w:rsidRPr="00F0158E" w:rsidR="002B48E1" w:rsidP="1EDECF99" w:rsidRDefault="1EDECF99" w14:paraId="67C70E4A" w14:textId="77777777">
            <w:pPr>
              <w:rPr>
                <w:rFonts w:ascii="Aptos" w:hAnsi="Aptos" w:eastAsia="Aptos" w:cs="Aptos"/>
                <w:color w:val="000000" w:themeColor="text1"/>
              </w:rPr>
            </w:pPr>
            <w:r w:rsidRPr="00F0158E">
              <w:rPr>
                <w:rFonts w:ascii="Aptos" w:hAnsi="Aptos" w:eastAsia="Aptos" w:cs="Aptos"/>
                <w:color w:val="000000" w:themeColor="text1"/>
              </w:rPr>
              <w:t>Juliette Besnard, ingénieure d’études à l’EHESP</w:t>
            </w:r>
          </w:p>
          <w:p w:rsidRPr="00F0158E" w:rsidR="002B48E1" w:rsidP="1EDECF99" w:rsidRDefault="1EDECF99" w14:paraId="34389465" w14:textId="77777777">
            <w:pPr>
              <w:rPr>
                <w:rFonts w:ascii="Aptos" w:hAnsi="Aptos" w:eastAsia="Aptos" w:cs="Aptos"/>
                <w:color w:val="000000" w:themeColor="text1"/>
              </w:rPr>
            </w:pPr>
            <w:hyperlink w:tooltip="mailto:juliette.besnard@ehesp.fr" w:history="1" r:id="rId12">
              <w:r w:rsidRPr="00F0158E">
                <w:rPr>
                  <w:rStyle w:val="Lienhypertexte"/>
                  <w:rFonts w:ascii="Aptos" w:hAnsi="Aptos" w:eastAsia="Aptos" w:cs="Aptos"/>
                  <w:color w:val="000000" w:themeColor="text1"/>
                </w:rPr>
                <w:t>juliette.besnard@ehesp.fr</w:t>
              </w:r>
            </w:hyperlink>
            <w:r w:rsidRPr="00F0158E">
              <w:rPr>
                <w:rFonts w:ascii="Aptos" w:hAnsi="Aptos" w:eastAsia="Aptos" w:cs="Aptos"/>
                <w:color w:val="000000" w:themeColor="text1"/>
              </w:rPr>
              <w:t xml:space="preserve"> </w:t>
            </w:r>
          </w:p>
        </w:tc>
      </w:tr>
      <w:tr w:rsidRPr="00F0158E" w:rsidR="002B48E1" w:rsidTr="6764C8A6" w14:paraId="08ADFA0B" w14:textId="77777777">
        <w:trPr>
          <w:trHeight w:val="300"/>
        </w:trPr>
        <w:tc>
          <w:tcPr>
            <w:tcW w:w="4530" w:type="dxa"/>
            <w:tcBorders>
              <w:left w:val="single" w:color="000000" w:themeColor="text1" w:sz="6" w:space="0"/>
              <w:bottom w:val="single" w:color="000000" w:themeColor="text1" w:sz="6" w:space="0"/>
            </w:tcBorders>
            <w:tcMar>
              <w:left w:w="105" w:type="dxa"/>
              <w:right w:w="105" w:type="dxa"/>
            </w:tcMar>
          </w:tcPr>
          <w:p w:rsidRPr="00F0158E" w:rsidR="002B48E1" w:rsidP="1EDECF99" w:rsidRDefault="1EDECF99" w14:paraId="5411F0D0" w14:textId="77777777">
            <w:pPr>
              <w:tabs>
                <w:tab w:val="left" w:pos="2712"/>
              </w:tabs>
              <w:jc w:val="both"/>
              <w:rPr>
                <w:rFonts w:ascii="Aptos" w:hAnsi="Aptos" w:eastAsia="Aptos" w:cs="Aptos"/>
                <w:color w:val="000000" w:themeColor="text1"/>
              </w:rPr>
            </w:pPr>
            <w:r w:rsidRPr="00F0158E">
              <w:rPr>
                <w:rFonts w:ascii="Aptos" w:hAnsi="Aptos" w:eastAsia="Aptos" w:cs="Aptos"/>
                <w:color w:val="000000" w:themeColor="text1"/>
              </w:rPr>
              <w:t>Méthodologie</w:t>
            </w:r>
          </w:p>
        </w:tc>
        <w:tc>
          <w:tcPr>
            <w:tcW w:w="4530" w:type="dxa"/>
            <w:tcBorders>
              <w:bottom w:val="single" w:color="000000" w:themeColor="text1" w:sz="6" w:space="0"/>
              <w:right w:val="single" w:color="000000" w:themeColor="text1" w:sz="6" w:space="0"/>
            </w:tcBorders>
            <w:tcMar>
              <w:left w:w="105" w:type="dxa"/>
              <w:right w:w="105" w:type="dxa"/>
            </w:tcMar>
          </w:tcPr>
          <w:p w:rsidRPr="00F0158E" w:rsidR="002B48E1" w:rsidP="1EDECF99" w:rsidRDefault="1EDECF99" w14:paraId="6F9B9F9E" w14:textId="77777777">
            <w:pPr>
              <w:rPr>
                <w:rFonts w:ascii="Aptos" w:hAnsi="Aptos" w:eastAsia="Aptos" w:cs="Aptos"/>
                <w:color w:val="000000" w:themeColor="text1"/>
              </w:rPr>
            </w:pPr>
            <w:r w:rsidRPr="00F0158E">
              <w:rPr>
                <w:rFonts w:ascii="Aptos" w:hAnsi="Aptos" w:eastAsia="Aptos" w:cs="Aptos"/>
                <w:color w:val="000000" w:themeColor="text1"/>
              </w:rPr>
              <w:t>Fiche réalisée sur la base de deux entretiens de capitalisation conduits en 2025, en visioconférence.</w:t>
            </w:r>
          </w:p>
        </w:tc>
      </w:tr>
    </w:tbl>
    <w:p w:rsidRPr="00F0158E" w:rsidR="002B48E1" w:rsidP="1EDECF99" w:rsidRDefault="002B48E1" w14:paraId="672A6659" w14:textId="77777777">
      <w:pPr>
        <w:rPr>
          <w:rFonts w:ascii="Aptos" w:hAnsi="Aptos" w:eastAsia="Aptos" w:cs="Aptos"/>
          <w:color w:val="000000" w:themeColor="text1"/>
        </w:rPr>
      </w:pPr>
    </w:p>
    <w:p w:rsidRPr="00F0158E" w:rsidR="002B48E1" w:rsidP="1EDECF99" w:rsidRDefault="1EDECF99" w14:paraId="47EA7BA1" w14:textId="77777777">
      <w:pPr>
        <w:pStyle w:val="Titre1"/>
        <w:rPr>
          <w:rFonts w:ascii="Aptos Display" w:hAnsi="Aptos Display" w:eastAsia="Aptos Display" w:cs="Aptos Display"/>
          <w:color w:val="000000" w:themeColor="text1"/>
        </w:rPr>
      </w:pPr>
      <w:r w:rsidRPr="00F0158E">
        <w:rPr>
          <w:rFonts w:ascii="Aptos Display" w:hAnsi="Aptos Display" w:eastAsia="Aptos Display" w:cs="Aptos Display"/>
          <w:color w:val="000000" w:themeColor="text1"/>
        </w:rPr>
        <w:lastRenderedPageBreak/>
        <w:t>Point de départ de l’intervention</w:t>
      </w:r>
    </w:p>
    <w:p w:rsidRPr="00F0158E" w:rsidR="002B48E1" w:rsidP="1EDECF99" w:rsidRDefault="1EDECF99" w14:paraId="702938F6" w14:textId="77777777">
      <w:pPr>
        <w:pStyle w:val="Titre2"/>
        <w:rPr>
          <w:rFonts w:ascii="Aptos Display" w:hAnsi="Aptos Display" w:eastAsia="Aptos Display" w:cs="Aptos Display"/>
          <w:color w:val="000000" w:themeColor="text1"/>
        </w:rPr>
      </w:pPr>
      <w:r w:rsidRPr="4306CD06" w:rsidR="1EDECF99">
        <w:rPr>
          <w:rFonts w:ascii="Aptos Display" w:hAnsi="Aptos Display" w:eastAsia="Aptos Display" w:cs="Aptos Display"/>
          <w:color w:val="000000" w:themeColor="text1" w:themeTint="FF" w:themeShade="FF"/>
          <w:sz w:val="30"/>
          <w:szCs w:val="30"/>
        </w:rPr>
        <w:t>Présentation</w:t>
      </w:r>
      <w:r w:rsidRPr="4306CD06" w:rsidR="1EDECF99">
        <w:rPr>
          <w:rFonts w:ascii="Aptos Display" w:hAnsi="Aptos Display" w:eastAsia="Aptos Display" w:cs="Aptos Display"/>
          <w:color w:val="000000" w:themeColor="text1" w:themeTint="FF" w:themeShade="FF"/>
        </w:rPr>
        <w:t xml:space="preserve"> de la structure et de ses activités</w:t>
      </w:r>
    </w:p>
    <w:p w:rsidRPr="00F0158E" w:rsidR="002B48E1" w:rsidP="2B68193E" w:rsidRDefault="0F99C995" w14:paraId="7557892D" w14:textId="3E5C46A5">
      <w:pPr>
        <w:keepNext/>
        <w:keepLines/>
        <w:rPr>
          <w:color w:val="000000" w:themeColor="text1"/>
        </w:rPr>
      </w:pPr>
      <w:r w:rsidRPr="00F0158E">
        <w:rPr>
          <w:color w:val="000000" w:themeColor="text1"/>
        </w:rPr>
        <w:t xml:space="preserve">L’association Ithaque est basée à Strasbourg et œuvre depuis 1993 auprès de personnes en difficulté avec les addictions. L’association compte un grand nombre d’activités et de structures, parmi lesquelles on retrouve un Centre de Soins, d’Accompagnement et de Prévention en Addictologie (CSAPA), un Centre d’Accueil et d’Accompagnement à la Réduction des risques pour Usagers de Drogues (CAARUD), des Consultations Jeunes Consommateurs (CJC) ou encore l’une des deux Salles de Consommation à Moindre Risque (SCMR) ou halte soins addictions en France. L’association dispose donc d’une expérience et de compétences solides en matière d’addictologie. Ses activités se basent sur une démarche de Réduction des Risques et de valorisation de la parole des usagers. L’association s’est beaucoup développée lors des 5 dernières années et compte aujourd’hui environ 130 salariés, au sein d’équipes pluridisciplinaires (médecins, IDE, travailleurs sociaux, psychologues, chargés de projets, bénévoles, étudiants relais </w:t>
      </w:r>
      <w:proofErr w:type="spellStart"/>
      <w:r w:rsidRPr="00F0158E">
        <w:rPr>
          <w:color w:val="000000" w:themeColor="text1"/>
        </w:rPr>
        <w:t>addicto</w:t>
      </w:r>
      <w:proofErr w:type="spellEnd"/>
      <w:r w:rsidRPr="00F0158E">
        <w:rPr>
          <w:color w:val="000000" w:themeColor="text1"/>
        </w:rPr>
        <w:t xml:space="preserve">). Son territoire d’activité est basé sur le Bas-Rhin. </w:t>
      </w:r>
    </w:p>
    <w:p w:rsidRPr="00F0158E" w:rsidR="002B48E1" w:rsidP="1EDECF99" w:rsidRDefault="1EDECF99" w14:paraId="6CE56468" w14:textId="77777777">
      <w:pPr>
        <w:keepNext/>
        <w:keepLines/>
        <w:rPr>
          <w:color w:val="000000" w:themeColor="text1"/>
        </w:rPr>
      </w:pPr>
      <w:r w:rsidRPr="00F0158E">
        <w:rPr>
          <w:color w:val="000000" w:themeColor="text1"/>
        </w:rPr>
        <w:t>L’Université de Strasbourg (</w:t>
      </w:r>
      <w:proofErr w:type="spellStart"/>
      <w:r w:rsidRPr="00F0158E">
        <w:rPr>
          <w:color w:val="000000" w:themeColor="text1"/>
        </w:rPr>
        <w:t>UniStra</w:t>
      </w:r>
      <w:proofErr w:type="spellEnd"/>
      <w:r w:rsidRPr="00F0158E">
        <w:rPr>
          <w:color w:val="000000" w:themeColor="text1"/>
        </w:rPr>
        <w:t xml:space="preserve">) compte environ 55 000 étudiants, 35 composantes, sur 6 campus. Y est rattaché un Service de Santé Etudiante ou SSE. Le SSE, service de médecine préventive, s’adresse aux étudiants de l’Université de Strasbourg, des établissements associés (ENGEES, ENSAS, HEAR, INSA) et des établissements conventionnés (TNS, ESEIS, EDIAC). Il propose des consultations médicales et infirmières, ainsi que des actions de prévention variées dans différents domaines. </w:t>
      </w:r>
    </w:p>
    <w:p w:rsidRPr="00F0158E" w:rsidR="002B48E1" w:rsidP="4306CD06" w:rsidRDefault="1EDECF99" w14:paraId="670225D6" w14:textId="77777777">
      <w:pPr>
        <w:pStyle w:val="Titre2"/>
        <w:rPr>
          <w:rFonts w:ascii="Aptos Display" w:hAnsi="Aptos Display" w:eastAsia="Aptos Display" w:cs="Aptos Display"/>
          <w:color w:val="000000" w:themeColor="text1"/>
          <w:sz w:val="30"/>
          <w:szCs w:val="30"/>
        </w:rPr>
      </w:pPr>
      <w:r w:rsidRPr="4306CD06" w:rsidR="1EDECF99">
        <w:rPr>
          <w:rFonts w:ascii="Aptos Display" w:hAnsi="Aptos Display" w:eastAsia="Aptos Display" w:cs="Aptos Display"/>
          <w:color w:val="000000" w:themeColor="text1" w:themeTint="FF" w:themeShade="FF"/>
          <w:sz w:val="30"/>
          <w:szCs w:val="30"/>
        </w:rPr>
        <w:t>Contexte</w:t>
      </w:r>
    </w:p>
    <w:p w:rsidRPr="00F0158E" w:rsidR="002B48E1" w:rsidP="1EDECF99" w:rsidRDefault="1EDECF99" w14:paraId="41FC43C7" w14:textId="77777777">
      <w:pPr>
        <w:keepNext/>
        <w:keepLines/>
        <w:rPr>
          <w:color w:val="000000" w:themeColor="text1"/>
        </w:rPr>
      </w:pPr>
      <w:r w:rsidRPr="00F0158E">
        <w:rPr>
          <w:color w:val="000000" w:themeColor="text1"/>
        </w:rPr>
        <w:t xml:space="preserve">Au sortir de la pandémie, les professionnels du SSE ainsi que de l’association Ithaque </w:t>
      </w:r>
      <w:proofErr w:type="gramStart"/>
      <w:r w:rsidRPr="00F0158E">
        <w:rPr>
          <w:color w:val="000000" w:themeColor="text1"/>
        </w:rPr>
        <w:t>ont</w:t>
      </w:r>
      <w:proofErr w:type="gramEnd"/>
      <w:r w:rsidRPr="00F0158E">
        <w:rPr>
          <w:color w:val="000000" w:themeColor="text1"/>
        </w:rPr>
        <w:t xml:space="preserve"> perçu conjointement des signaux d’alerte concernant les étudiants et leurs consommations. Dans le même temps, la feuille de route régionale “Mobilisation contre les addictions en Grand-Est 2017-2023</w:t>
      </w:r>
      <w:r w:rsidRPr="00F0158E" w:rsidR="00AB09EC">
        <w:rPr>
          <w:rStyle w:val="Appelnotedebasdep"/>
          <w:color w:val="000000" w:themeColor="text1"/>
        </w:rPr>
        <w:footnoteReference w:id="1"/>
      </w:r>
      <w:r w:rsidRPr="00F0158E">
        <w:rPr>
          <w:color w:val="000000" w:themeColor="text1"/>
        </w:rPr>
        <w:t xml:space="preserve">" identifiait des enjeux similaires en matière de consommation chez les étudiants. Une hausse de 30% des consommations a été identifiée par le SSE. De plus, il est apparu que cette hausse était en lien avec des nouveaux types de consommations (substance comme mode). </w:t>
      </w:r>
    </w:p>
    <w:p w:rsidRPr="00F0158E" w:rsidR="002B48E1" w:rsidP="1EDECF99" w:rsidRDefault="1EDECF99" w14:paraId="0B9646D1" w14:textId="77777777">
      <w:pPr>
        <w:keepNext/>
        <w:keepLines/>
        <w:rPr>
          <w:color w:val="000000" w:themeColor="text1"/>
        </w:rPr>
      </w:pPr>
      <w:r w:rsidRPr="00F0158E">
        <w:rPr>
          <w:color w:val="000000" w:themeColor="text1"/>
        </w:rPr>
        <w:t xml:space="preserve">La question des données en matière de consommation des étudiants est un enjeu majeur pour correctement s’impliquer sur la thématique. Le projet a donc un axe spécifiquement dédié à la création, mise en œuvre et au traitement d’un questionnaire destiné aux étudiants sur leurs consommations. </w:t>
      </w:r>
    </w:p>
    <w:p w:rsidRPr="00F0158E" w:rsidR="002B48E1" w:rsidP="1EDECF99" w:rsidRDefault="0F99C995" w14:paraId="4A61742B" w14:textId="5125BF99">
      <w:pPr>
        <w:keepNext/>
        <w:keepLines/>
        <w:spacing w:after="0"/>
        <w:rPr>
          <w:color w:val="000000" w:themeColor="text1"/>
        </w:rPr>
      </w:pPr>
      <w:r w:rsidRPr="00F0158E">
        <w:rPr>
          <w:color w:val="000000" w:themeColor="text1"/>
        </w:rPr>
        <w:lastRenderedPageBreak/>
        <w:t>Il est en outre à noter que Strasbourg et sa région présentent une culture de consommation d’alcool assez forte.</w:t>
      </w:r>
      <w:r w:rsidRPr="00F0158E" w:rsidR="2F742585">
        <w:rPr>
          <w:color w:val="000000" w:themeColor="text1"/>
        </w:rPr>
        <w:t xml:space="preserve"> </w:t>
      </w:r>
      <w:r w:rsidRPr="00F0158E">
        <w:rPr>
          <w:color w:val="000000" w:themeColor="text1"/>
        </w:rPr>
        <w:t>Ainsi, on retrouve de nombreuses « </w:t>
      </w:r>
      <w:proofErr w:type="spellStart"/>
      <w:r w:rsidRPr="00F0158E">
        <w:rPr>
          <w:color w:val="000000" w:themeColor="text1"/>
        </w:rPr>
        <w:t>cafets</w:t>
      </w:r>
      <w:proofErr w:type="spellEnd"/>
      <w:r w:rsidRPr="00F0158E">
        <w:rPr>
          <w:color w:val="000000" w:themeColor="text1"/>
        </w:rPr>
        <w:t xml:space="preserve"> » étudiantes sur les différents campus (Esplanade, Illkirch, historique, médecine…). Ces </w:t>
      </w:r>
      <w:proofErr w:type="spellStart"/>
      <w:r w:rsidRPr="00F0158E">
        <w:rPr>
          <w:color w:val="000000" w:themeColor="text1"/>
        </w:rPr>
        <w:t>cafets</w:t>
      </w:r>
      <w:proofErr w:type="spellEnd"/>
      <w:r w:rsidRPr="00F0158E">
        <w:rPr>
          <w:color w:val="000000" w:themeColor="text1"/>
        </w:rPr>
        <w:t xml:space="preserve"> sont des espaces de socialisation pour les étudiants mais également les personnels, qui peuvent consommer nourriture et boissons, dont de l’alcool sur certaines plages horaires, avec également l’organisation de nombreuses soirées. On retrouve cette culture de la consommation de façon différenciée selon les cursus, avec plus ou moins de consommation ou différents types de substances et de modes de consommation. </w:t>
      </w:r>
    </w:p>
    <w:p w:rsidRPr="00F0158E" w:rsidR="002B48E1" w:rsidP="1EDECF99" w:rsidRDefault="1EDECF99" w14:paraId="7E579B5B" w14:textId="2BD62DAF">
      <w:pPr>
        <w:keepNext/>
        <w:keepLines/>
        <w:rPr>
          <w:color w:val="000000" w:themeColor="text1"/>
        </w:rPr>
      </w:pPr>
      <w:r w:rsidRPr="00F0158E">
        <w:rPr>
          <w:color w:val="000000" w:themeColor="text1"/>
        </w:rPr>
        <w:t xml:space="preserve">L’approche pair-à-pair </w:t>
      </w:r>
      <w:r w:rsidRPr="00F0158E" w:rsidR="5B9C490E">
        <w:rPr>
          <w:color w:val="000000" w:themeColor="text1"/>
        </w:rPr>
        <w:t>a</w:t>
      </w:r>
      <w:r w:rsidRPr="00F0158E">
        <w:rPr>
          <w:color w:val="000000" w:themeColor="text1"/>
        </w:rPr>
        <w:t xml:space="preserve"> dès le départ été identifiée comme nécessaire et pertinente. Strasbourg est en effet connue pour ses dispositifs de ce type pour les étudiants, avec les Etudiants Relais Cité, un projet ancré dans les cités universitaires strasbourgeoises depuis environ 20 ans, menée par le CROUS. Il existe </w:t>
      </w:r>
      <w:r w:rsidRPr="00F0158E" w:rsidR="739C5A65">
        <w:rPr>
          <w:color w:val="000000" w:themeColor="text1"/>
        </w:rPr>
        <w:t xml:space="preserve">également </w:t>
      </w:r>
      <w:r w:rsidRPr="00F0158E">
        <w:rPr>
          <w:color w:val="000000" w:themeColor="text1"/>
        </w:rPr>
        <w:t>un autre dispositif plus récent, les Etudiants Relais Rescue, implantés sur les campus, et coordonnés par une psychologue du SSE.</w:t>
      </w:r>
    </w:p>
    <w:p w:rsidRPr="00F0158E" w:rsidR="002B48E1" w:rsidP="4306CD06" w:rsidRDefault="1EDECF99" w14:paraId="514158B5" w14:textId="77777777">
      <w:pPr>
        <w:pStyle w:val="Titre2"/>
        <w:rPr>
          <w:rFonts w:ascii="Aptos Display" w:hAnsi="Aptos Display" w:eastAsia="Aptos Display" w:cs="Aptos Display"/>
          <w:color w:val="000000" w:themeColor="text1"/>
          <w:sz w:val="30"/>
          <w:szCs w:val="30"/>
        </w:rPr>
      </w:pPr>
      <w:r w:rsidRPr="4306CD06" w:rsidR="1EDECF99">
        <w:rPr>
          <w:rFonts w:ascii="Aptos Display" w:hAnsi="Aptos Display" w:eastAsia="Aptos Display" w:cs="Aptos Display"/>
          <w:color w:val="000000" w:themeColor="text1" w:themeTint="FF" w:themeShade="FF"/>
          <w:sz w:val="30"/>
          <w:szCs w:val="30"/>
        </w:rPr>
        <w:t>Problématique de départ</w:t>
      </w:r>
    </w:p>
    <w:p w:rsidRPr="00F0158E" w:rsidR="002B48E1" w:rsidP="1EDECF99" w:rsidRDefault="1EDECF99" w14:paraId="18F81F82" w14:textId="77777777">
      <w:pPr>
        <w:keepNext/>
        <w:keepLines/>
        <w:rPr>
          <w:color w:val="000000" w:themeColor="text1"/>
        </w:rPr>
      </w:pPr>
      <w:r w:rsidRPr="00F0158E">
        <w:rPr>
          <w:color w:val="000000" w:themeColor="text1"/>
        </w:rPr>
        <w:t xml:space="preserve">Les deux acteurs – le SSE et l’association Ithaque – ont donc identifié une problématique commune, celle de l’addictologie pour les étudiants, avec le besoin d’adopter une approche de pair à pair. Un étudiant, aujourd’hui travaillant au sein de l’association Ithaque, a permis la rencontre initiale du SSE et de l’association autour de cette thématique. Un travail en commun s’est donc lancé entre les deux partenaires, avec de 2021 à 2023 un groupe de parole en ligne. Celui-ci a été abandonné car ne répondant plus aux besoins des étudiants, qui souhaitaient retrouver des liens en présentiel. Les porteurs de projet ont alors souhaité poursuivre le travail en commun et ont créé les étudiants relais </w:t>
      </w:r>
      <w:proofErr w:type="spellStart"/>
      <w:r w:rsidRPr="00F0158E">
        <w:rPr>
          <w:color w:val="000000" w:themeColor="text1"/>
        </w:rPr>
        <w:t>addicto</w:t>
      </w:r>
      <w:proofErr w:type="spellEnd"/>
      <w:r w:rsidRPr="00F0158E">
        <w:rPr>
          <w:color w:val="000000" w:themeColor="text1"/>
        </w:rPr>
        <w:t xml:space="preserve"> (ERA), une innovation en France à notre connaissance. </w:t>
      </w:r>
    </w:p>
    <w:p w:rsidRPr="00F0158E" w:rsidR="002B48E1" w:rsidP="4306CD06" w:rsidRDefault="0F99C995" w14:paraId="5DCAA6CD" w14:textId="77777777">
      <w:pPr>
        <w:pStyle w:val="Titre2"/>
        <w:rPr>
          <w:color w:val="000000" w:themeColor="text1"/>
          <w:sz w:val="30"/>
          <w:szCs w:val="30"/>
        </w:rPr>
      </w:pPr>
      <w:r w:rsidRPr="4306CD06" w:rsidR="0F99C995">
        <w:rPr>
          <w:color w:val="000000" w:themeColor="text1" w:themeTint="FF" w:themeShade="FF"/>
          <w:sz w:val="30"/>
          <w:szCs w:val="30"/>
        </w:rPr>
        <w:t>Objectifs</w:t>
      </w:r>
    </w:p>
    <w:p w:rsidRPr="00F0158E" w:rsidR="32322655" w:rsidP="1EDECF99" w:rsidRDefault="32322655" w14:paraId="254B94FB" w14:textId="102B887A">
      <w:pPr>
        <w:keepNext/>
        <w:keepLines/>
        <w:rPr>
          <w:color w:val="000000" w:themeColor="text1"/>
        </w:rPr>
      </w:pPr>
      <w:r w:rsidRPr="00F0158E">
        <w:rPr>
          <w:color w:val="000000" w:themeColor="text1"/>
        </w:rPr>
        <w:t xml:space="preserve">•Accueillir la parole des </w:t>
      </w:r>
      <w:proofErr w:type="spellStart"/>
      <w:r w:rsidRPr="00F0158E">
        <w:rPr>
          <w:color w:val="000000" w:themeColor="text1"/>
        </w:rPr>
        <w:t>étudiant.</w:t>
      </w:r>
      <w:proofErr w:type="gramStart"/>
      <w:r w:rsidRPr="00F0158E">
        <w:rPr>
          <w:color w:val="000000" w:themeColor="text1"/>
        </w:rPr>
        <w:t>e.s</w:t>
      </w:r>
      <w:proofErr w:type="spellEnd"/>
      <w:proofErr w:type="gramEnd"/>
      <w:r w:rsidRPr="00F0158E">
        <w:rPr>
          <w:color w:val="000000" w:themeColor="text1"/>
        </w:rPr>
        <w:t xml:space="preserve"> sans jugement</w:t>
      </w:r>
    </w:p>
    <w:p w:rsidRPr="00F0158E" w:rsidR="32322655" w:rsidP="1EDECF99" w:rsidRDefault="32322655" w14:paraId="7145F36C" w14:textId="6A6C73CD">
      <w:pPr>
        <w:keepNext/>
        <w:keepLines/>
        <w:rPr>
          <w:color w:val="000000" w:themeColor="text1"/>
        </w:rPr>
      </w:pPr>
      <w:r w:rsidRPr="00F0158E">
        <w:rPr>
          <w:color w:val="000000" w:themeColor="text1"/>
        </w:rPr>
        <w:t>•Diffuser les principes de réduction des risques</w:t>
      </w:r>
    </w:p>
    <w:p w:rsidRPr="00F0158E" w:rsidR="32322655" w:rsidP="1EDECF99" w:rsidRDefault="32322655" w14:paraId="3E7D964E" w14:textId="02C80495">
      <w:pPr>
        <w:keepNext/>
        <w:keepLines/>
        <w:rPr>
          <w:color w:val="000000" w:themeColor="text1"/>
        </w:rPr>
      </w:pPr>
      <w:r w:rsidRPr="00F0158E">
        <w:rPr>
          <w:color w:val="000000" w:themeColor="text1"/>
        </w:rPr>
        <w:t>•Informer sur les produits, les pratiques et les addictions</w:t>
      </w:r>
    </w:p>
    <w:p w:rsidRPr="00F0158E" w:rsidR="32322655" w:rsidP="1EDECF99" w:rsidRDefault="32322655" w14:paraId="7310AFC6" w14:textId="32A5D2A7">
      <w:pPr>
        <w:keepNext/>
        <w:keepLines/>
        <w:rPr>
          <w:color w:val="000000" w:themeColor="text1"/>
        </w:rPr>
      </w:pPr>
      <w:r w:rsidRPr="00F0158E">
        <w:rPr>
          <w:color w:val="000000" w:themeColor="text1"/>
        </w:rPr>
        <w:t xml:space="preserve">•Accompagner la fête étudiante et sécuriser les pratiques des organisateurs </w:t>
      </w:r>
    </w:p>
    <w:p w:rsidRPr="00F0158E" w:rsidR="32322655" w:rsidP="1EDECF99" w:rsidRDefault="32322655" w14:paraId="24E13525" w14:textId="1FC09772">
      <w:pPr>
        <w:keepNext/>
        <w:keepLines/>
        <w:rPr>
          <w:color w:val="000000" w:themeColor="text1"/>
        </w:rPr>
      </w:pPr>
      <w:r w:rsidRPr="00F0158E">
        <w:rPr>
          <w:color w:val="000000" w:themeColor="text1"/>
        </w:rPr>
        <w:t>•Participer à la mise en place d’un environnement protecteur vis-à-vis des consommations avec du matériel adapté et un stand de réduction des risques sur les lieux de fêtes</w:t>
      </w:r>
    </w:p>
    <w:p w:rsidRPr="00F0158E" w:rsidR="002B48E1" w:rsidP="4306CD06" w:rsidRDefault="1EDECF99" w14:paraId="1397BA88" w14:textId="77777777">
      <w:pPr>
        <w:pStyle w:val="Titre2"/>
        <w:rPr>
          <w:rFonts w:ascii="Aptos Display" w:hAnsi="Aptos Display" w:eastAsia="Aptos Display" w:cs="Aptos Display"/>
          <w:color w:val="000000" w:themeColor="text1"/>
          <w:sz w:val="30"/>
          <w:szCs w:val="30"/>
        </w:rPr>
      </w:pPr>
      <w:r w:rsidRPr="4306CD06" w:rsidR="1EDECF99">
        <w:rPr>
          <w:rFonts w:ascii="Aptos Display" w:hAnsi="Aptos Display" w:eastAsia="Aptos Display" w:cs="Aptos Display"/>
          <w:color w:val="000000" w:themeColor="text1" w:themeTint="FF" w:themeShade="FF"/>
          <w:sz w:val="30"/>
          <w:szCs w:val="30"/>
        </w:rPr>
        <w:t xml:space="preserve">La question de capitalisation </w:t>
      </w:r>
    </w:p>
    <w:p w:rsidRPr="00F0158E" w:rsidR="002B48E1" w:rsidP="1EDECF99" w:rsidRDefault="1EDECF99" w14:paraId="795B84E1" w14:textId="77777777">
      <w:pPr>
        <w:keepNext/>
        <w:keepLines/>
        <w:rPr>
          <w:color w:val="000000" w:themeColor="text1"/>
        </w:rPr>
      </w:pPr>
      <w:r w:rsidRPr="00F0158E">
        <w:rPr>
          <w:color w:val="000000" w:themeColor="text1"/>
        </w:rPr>
        <w:lastRenderedPageBreak/>
        <w:t xml:space="preserve">Comment les étudiants relais </w:t>
      </w:r>
      <w:proofErr w:type="spellStart"/>
      <w:r w:rsidRPr="00F0158E">
        <w:rPr>
          <w:color w:val="000000" w:themeColor="text1"/>
        </w:rPr>
        <w:t>addicto</w:t>
      </w:r>
      <w:proofErr w:type="spellEnd"/>
      <w:r w:rsidRPr="00F0158E">
        <w:rPr>
          <w:color w:val="000000" w:themeColor="text1"/>
        </w:rPr>
        <w:t xml:space="preserve"> permettent de développer une approche de réduction des risques multi-dimensionnelle vers le public étudiant de la région de Strasbourg ? </w:t>
      </w:r>
    </w:p>
    <w:p w:rsidRPr="00F0158E" w:rsidR="002B48E1" w:rsidP="1EDECF99" w:rsidRDefault="002B48E1" w14:paraId="0A37501D" w14:textId="77777777">
      <w:pPr>
        <w:rPr>
          <w:rFonts w:ascii="Aptos" w:hAnsi="Aptos" w:eastAsia="Aptos" w:cs="Aptos"/>
          <w:color w:val="000000" w:themeColor="text1"/>
        </w:rPr>
      </w:pPr>
    </w:p>
    <w:p w:rsidRPr="00F0158E" w:rsidR="002B48E1" w:rsidP="1EDECF99" w:rsidRDefault="1EDECF99" w14:paraId="481B33DD" w14:textId="77777777">
      <w:pPr>
        <w:pStyle w:val="Titre1"/>
        <w:rPr>
          <w:rFonts w:ascii="Aptos" w:hAnsi="Aptos" w:eastAsia="Aptos" w:cs="Aptos"/>
          <w:color w:val="000000" w:themeColor="text1"/>
          <w:sz w:val="24"/>
          <w:szCs w:val="24"/>
        </w:rPr>
      </w:pPr>
      <w:r w:rsidRPr="00F0158E">
        <w:rPr>
          <w:rFonts w:ascii="Aptos Display" w:hAnsi="Aptos Display" w:eastAsia="Aptos Display" w:cs="Aptos Display"/>
          <w:color w:val="000000" w:themeColor="text1"/>
        </w:rPr>
        <w:lastRenderedPageBreak/>
        <w:t xml:space="preserve">Stratégies de mise en œuvre du projet </w:t>
      </w:r>
      <w:r w:rsidRPr="00F0158E">
        <w:rPr>
          <w:rFonts w:ascii="Aptos" w:hAnsi="Aptos" w:eastAsia="Aptos" w:cs="Aptos"/>
          <w:color w:val="000000" w:themeColor="text1"/>
          <w:sz w:val="24"/>
          <w:szCs w:val="24"/>
        </w:rPr>
        <w:t xml:space="preserve"> </w:t>
      </w:r>
    </w:p>
    <w:p w:rsidRPr="00F0158E" w:rsidR="002B48E1" w:rsidP="4306CD06" w:rsidRDefault="1EDECF99" w14:paraId="6936CE79" w14:textId="77777777">
      <w:pPr>
        <w:pStyle w:val="Titre2"/>
        <w:rPr>
          <w:rFonts w:ascii="Aptos Display" w:hAnsi="Aptos Display" w:eastAsia="Aptos Display" w:cs="Aptos Display"/>
          <w:color w:val="000000" w:themeColor="text1"/>
          <w:sz w:val="30"/>
          <w:szCs w:val="30"/>
        </w:rPr>
      </w:pPr>
      <w:r w:rsidRPr="4306CD06" w:rsidR="1EDECF99">
        <w:rPr>
          <w:rFonts w:ascii="Aptos Display" w:hAnsi="Aptos Display" w:eastAsia="Aptos Display" w:cs="Aptos Display"/>
          <w:color w:val="000000" w:themeColor="text1" w:themeTint="FF" w:themeShade="FF"/>
          <w:sz w:val="30"/>
          <w:szCs w:val="30"/>
        </w:rPr>
        <w:t>Mise en œuvre du projet</w:t>
      </w:r>
    </w:p>
    <w:p w:rsidRPr="00F0158E" w:rsidR="002B48E1" w:rsidP="1EDECF99" w:rsidRDefault="1EDECF99" w14:paraId="14B1DF2D" w14:textId="5F4EDFFA">
      <w:pPr>
        <w:keepNext/>
        <w:keepLines/>
        <w:rPr>
          <w:color w:val="000000" w:themeColor="text1"/>
        </w:rPr>
      </w:pPr>
      <w:r w:rsidRPr="00F0158E">
        <w:rPr>
          <w:color w:val="000000" w:themeColor="text1"/>
        </w:rPr>
        <w:t xml:space="preserve">Le SSE et Ithaque ont répondu à un Appel à Projets (AAP) de l’ARS pour ce projet. La convention a été signée pour 2023, signant le début officiel des ERA. Ces derniers sont intégrés à l’association Ithaque, avec qui ils travaillent principalement. Leurs missions se décomposent en </w:t>
      </w:r>
      <w:r w:rsidRPr="00F0158E" w:rsidR="54A5C458">
        <w:rPr>
          <w:color w:val="000000" w:themeColor="text1"/>
        </w:rPr>
        <w:t>6</w:t>
      </w:r>
      <w:r w:rsidRPr="00F0158E" w:rsidR="0E61B491">
        <w:rPr>
          <w:color w:val="000000" w:themeColor="text1"/>
        </w:rPr>
        <w:t xml:space="preserve"> </w:t>
      </w:r>
      <w:r w:rsidRPr="00F0158E">
        <w:rPr>
          <w:color w:val="000000" w:themeColor="text1"/>
        </w:rPr>
        <w:t xml:space="preserve">axes principaux : </w:t>
      </w:r>
    </w:p>
    <w:p w:rsidRPr="00F0158E" w:rsidR="5F6A31E1" w:rsidP="5F6A31E1" w:rsidRDefault="5F6A31E1" w14:paraId="2CF5BFD0" w14:textId="25C254D8">
      <w:pPr>
        <w:keepNext/>
        <w:keepLines/>
        <w:rPr>
          <w:color w:val="000000" w:themeColor="text1"/>
        </w:rPr>
      </w:pPr>
    </w:p>
    <w:p w:rsidRPr="00F0158E" w:rsidR="002B48E1" w:rsidP="5F6A31E1" w:rsidRDefault="1EDECF99" w14:paraId="1537C2D6" w14:textId="77777777">
      <w:pPr>
        <w:pStyle w:val="Paragraphedeliste"/>
        <w:keepNext/>
        <w:keepLines/>
        <w:numPr>
          <w:ilvl w:val="0"/>
          <w:numId w:val="1"/>
        </w:numPr>
        <w:rPr>
          <w:color w:val="000000" w:themeColor="text1"/>
        </w:rPr>
      </w:pPr>
      <w:r w:rsidRPr="00F0158E">
        <w:rPr>
          <w:color w:val="000000" w:themeColor="text1"/>
        </w:rPr>
        <w:t xml:space="preserve">L’installation et le suivi de bornes de Réduction des Risques en libre-service. </w:t>
      </w:r>
    </w:p>
    <w:p w:rsidRPr="00F0158E" w:rsidR="002B48E1" w:rsidP="1EDECF99" w:rsidRDefault="0F99C995" w14:paraId="5B60DDEA" w14:textId="32F8FDE6">
      <w:pPr>
        <w:keepNext/>
        <w:keepLines/>
        <w:rPr>
          <w:color w:val="000000" w:themeColor="text1"/>
        </w:rPr>
      </w:pPr>
      <w:r w:rsidRPr="00F0158E">
        <w:rPr>
          <w:color w:val="000000" w:themeColor="text1"/>
        </w:rPr>
        <w:t>10 bornes sont installées dans différents lieux phares pour les étudiants, comme au SSE, dans différents établissements de l’</w:t>
      </w:r>
      <w:proofErr w:type="spellStart"/>
      <w:r w:rsidRPr="00F0158E">
        <w:rPr>
          <w:color w:val="000000" w:themeColor="text1"/>
        </w:rPr>
        <w:t>UniStra</w:t>
      </w:r>
      <w:proofErr w:type="spellEnd"/>
      <w:r w:rsidRPr="00F0158E">
        <w:rPr>
          <w:color w:val="000000" w:themeColor="text1"/>
        </w:rPr>
        <w:t>, dans des “</w:t>
      </w:r>
      <w:proofErr w:type="spellStart"/>
      <w:r w:rsidRPr="00F0158E">
        <w:rPr>
          <w:color w:val="000000" w:themeColor="text1"/>
        </w:rPr>
        <w:t>cafets</w:t>
      </w:r>
      <w:proofErr w:type="spellEnd"/>
      <w:r w:rsidRPr="00F0158E">
        <w:rPr>
          <w:color w:val="000000" w:themeColor="text1"/>
        </w:rPr>
        <w:t>”</w:t>
      </w:r>
      <w:r w:rsidRPr="00F0158E" w:rsidR="1B89696A">
        <w:rPr>
          <w:color w:val="000000" w:themeColor="text1"/>
        </w:rPr>
        <w:t xml:space="preserve">, sous la </w:t>
      </w:r>
      <w:r w:rsidRPr="00F0158E">
        <w:rPr>
          <w:color w:val="000000" w:themeColor="text1"/>
        </w:rPr>
        <w:t>forme d’un meuble à cases, contiennent du matériel de Réduction des Risques ainsi que des flyers permettant aux étudiants de s’informer. On peut ainsi y trouver flyers, goodies de communication, parfois informations locales en santé étudiante, présentation d’outils e-santé et d’orientation, informations générales sur l’addictologie et matériel de RDR (bouchons d’oreille, matériel de sniff, préservatifs internes et externes, lubrifiants, éthylotests, etc.).</w:t>
      </w:r>
    </w:p>
    <w:p w:rsidRPr="00F0158E" w:rsidR="002B48E1" w:rsidP="1EDECF99" w:rsidRDefault="1EDECF99" w14:paraId="25A17A45" w14:textId="77777777">
      <w:pPr>
        <w:keepNext/>
        <w:keepLines/>
        <w:rPr>
          <w:color w:val="000000" w:themeColor="text1"/>
        </w:rPr>
      </w:pPr>
      <w:r w:rsidRPr="00F0158E">
        <w:rPr>
          <w:color w:val="000000" w:themeColor="text1"/>
        </w:rPr>
        <w:t xml:space="preserve">Chaque ERA est responsable du suivi et de l’approvisionnement d’une ou deux bornes de </w:t>
      </w:r>
      <w:proofErr w:type="spellStart"/>
      <w:r w:rsidRPr="00F0158E">
        <w:rPr>
          <w:color w:val="000000" w:themeColor="text1"/>
        </w:rPr>
        <w:t>RdR</w:t>
      </w:r>
      <w:proofErr w:type="spellEnd"/>
      <w:r w:rsidRPr="00F0158E">
        <w:rPr>
          <w:color w:val="000000" w:themeColor="text1"/>
        </w:rPr>
        <w:t xml:space="preserve">. En moyenne, une borne doit être réapprovisionnée une à deux fois par mois. Certaines sont plus utilisées par les étudiants que d’autres, comme celle du SSE qui doit être alimentée régulièrement. </w:t>
      </w:r>
    </w:p>
    <w:p w:rsidRPr="00F0158E" w:rsidR="002B48E1" w:rsidP="1EDECF99" w:rsidRDefault="1EDECF99" w14:paraId="70B62840" w14:textId="77777777">
      <w:pPr>
        <w:pStyle w:val="Citation"/>
        <w:keepNext/>
        <w:keepLines/>
        <w:rPr>
          <w:color w:val="000000" w:themeColor="text1"/>
        </w:rPr>
      </w:pPr>
      <w:r w:rsidRPr="00F0158E">
        <w:rPr>
          <w:color w:val="000000" w:themeColor="text1"/>
        </w:rPr>
        <w:t>La borne est un outil de RDR de première ligne, gérée par les pairs.</w:t>
      </w:r>
    </w:p>
    <w:p w:rsidRPr="00F0158E" w:rsidR="002B48E1" w:rsidP="1EDECF99" w:rsidRDefault="1EDECF99" w14:paraId="0A5A06B4" w14:textId="77777777">
      <w:pPr>
        <w:pStyle w:val="Citation"/>
        <w:keepNext/>
        <w:keepLines/>
        <w:rPr>
          <w:color w:val="000000" w:themeColor="text1"/>
        </w:rPr>
      </w:pPr>
      <w:r w:rsidRPr="00F0158E">
        <w:rPr>
          <w:color w:val="000000" w:themeColor="text1"/>
        </w:rPr>
        <w:t>Extrait du rapport d’activité intermédiaire du projet</w:t>
      </w:r>
    </w:p>
    <w:p w:rsidRPr="00F0158E" w:rsidR="002B48E1" w:rsidP="1EDECF99" w:rsidRDefault="1EDECF99" w14:paraId="183C5A7A" w14:textId="702F20FB">
      <w:pPr>
        <w:keepNext/>
        <w:keepLines/>
        <w:rPr>
          <w:color w:val="000000" w:themeColor="text1"/>
        </w:rPr>
      </w:pPr>
      <w:r w:rsidRPr="00F0158E">
        <w:rPr>
          <w:color w:val="000000" w:themeColor="text1"/>
        </w:rPr>
        <w:t xml:space="preserve">Cette action peut être complétée par de la délivrance simple de matériel de </w:t>
      </w:r>
      <w:proofErr w:type="spellStart"/>
      <w:r w:rsidRPr="00F0158E">
        <w:rPr>
          <w:color w:val="000000" w:themeColor="text1"/>
        </w:rPr>
        <w:t>RdR</w:t>
      </w:r>
      <w:proofErr w:type="spellEnd"/>
      <w:r w:rsidRPr="00F0158E">
        <w:rPr>
          <w:color w:val="000000" w:themeColor="text1"/>
        </w:rPr>
        <w:t xml:space="preserve">, notamment pour les associations étudiantes. Ces dernières ont en effet déjà pu se servir sur les bornes, les laissant alors vides pour de prochains utilisateurs. Un compromis a été trouvé en affichant sur les bornes la possibilité pour les associations de récupérer du matériel de </w:t>
      </w:r>
      <w:proofErr w:type="spellStart"/>
      <w:r w:rsidRPr="00F0158E">
        <w:rPr>
          <w:color w:val="000000" w:themeColor="text1"/>
        </w:rPr>
        <w:t>RdR</w:t>
      </w:r>
      <w:proofErr w:type="spellEnd"/>
      <w:r w:rsidRPr="00F0158E">
        <w:rPr>
          <w:color w:val="000000" w:themeColor="text1"/>
        </w:rPr>
        <w:t xml:space="preserve"> en prenant contact avec l’équipe ERA. Cette dernière pourra </w:t>
      </w:r>
      <w:r w:rsidRPr="00F0158E" w:rsidR="6E280C2B">
        <w:rPr>
          <w:color w:val="000000" w:themeColor="text1"/>
        </w:rPr>
        <w:t>a</w:t>
      </w:r>
      <w:r w:rsidRPr="00F0158E">
        <w:rPr>
          <w:color w:val="000000" w:themeColor="text1"/>
        </w:rPr>
        <w:t xml:space="preserve">lors les aiguiller entre une délivrance simple de matériel et l’installation d’un stand de sensibilisation lors de leur événement. Les bornes ont pour objectif de servir aux étudiants dans une perspective individuelle, chacun venant s’informer et se servir en fonction de ses besoins. </w:t>
      </w:r>
    </w:p>
    <w:p w:rsidRPr="00F0158E" w:rsidR="5F6A31E1" w:rsidP="5F6A31E1" w:rsidRDefault="5F6A31E1" w14:paraId="01571492" w14:textId="4951F493">
      <w:pPr>
        <w:keepNext/>
        <w:keepLines/>
        <w:rPr>
          <w:color w:val="000000" w:themeColor="text1"/>
        </w:rPr>
      </w:pPr>
    </w:p>
    <w:p w:rsidRPr="00F0158E" w:rsidR="002B48E1" w:rsidP="1EDECF99" w:rsidRDefault="1AF1F385" w14:paraId="5C23A5C8" w14:textId="711E87D0">
      <w:pPr>
        <w:pStyle w:val="Paragraphedeliste"/>
        <w:keepNext/>
        <w:keepLines/>
        <w:numPr>
          <w:ilvl w:val="0"/>
          <w:numId w:val="3"/>
        </w:numPr>
        <w:rPr>
          <w:color w:val="000000" w:themeColor="text1"/>
        </w:rPr>
      </w:pPr>
      <w:r w:rsidRPr="00F0158E">
        <w:rPr>
          <w:color w:val="000000" w:themeColor="text1"/>
        </w:rPr>
        <w:t xml:space="preserve">- </w:t>
      </w:r>
      <w:r w:rsidRPr="00F0158E" w:rsidR="1EDECF99">
        <w:rPr>
          <w:color w:val="000000" w:themeColor="text1"/>
        </w:rPr>
        <w:t xml:space="preserve">Orientation de 1er niveau </w:t>
      </w:r>
    </w:p>
    <w:p w:rsidRPr="00F0158E" w:rsidR="002B48E1" w:rsidP="1EDECF99" w:rsidRDefault="1EDECF99" w14:paraId="776B716B" w14:textId="77777777">
      <w:pPr>
        <w:keepNext/>
        <w:keepLines/>
        <w:rPr>
          <w:color w:val="000000" w:themeColor="text1"/>
        </w:rPr>
      </w:pPr>
      <w:r w:rsidRPr="00F0158E">
        <w:rPr>
          <w:color w:val="000000" w:themeColor="text1"/>
        </w:rPr>
        <w:lastRenderedPageBreak/>
        <w:t xml:space="preserve">Cette orientation de premier niveau s’opère notamment via les réseaux sociaux et les contacts par mail. En effet, les étudiants rencontrant des difficultés ou ayant des questions peuvent contacter l’équipe des ERA sur la messagerie du compte Instagram ou un ERA en particulier via leur adresse électronique nominative. Les ERA, grâce à leur formation, peuvent ainsi les aiguiller vers différentes ressources et surtout échanger avec eux. En cas d’urgence repérée par un ERA, la personne en difficulté est invitée à prendre contact avec les services de secours. Il ne s’agit donc pas d’une ligne d’écoute, d’une forme de consultation ou d’une alternative à une prise en charge médicale. Les coordinatrices du projet sont joignables en dehors des réunions pour échanger sur des situations particulières si nécessaire. </w:t>
      </w:r>
    </w:p>
    <w:p w:rsidRPr="00F0158E" w:rsidR="5F6A31E1" w:rsidP="5F6A31E1" w:rsidRDefault="5F6A31E1" w14:paraId="7DF9F049" w14:textId="26D30616">
      <w:pPr>
        <w:keepNext/>
        <w:keepLines/>
        <w:rPr>
          <w:color w:val="000000" w:themeColor="text1"/>
        </w:rPr>
      </w:pPr>
    </w:p>
    <w:p w:rsidRPr="00F0158E" w:rsidR="002B48E1" w:rsidP="1EDECF99" w:rsidRDefault="77EDA0AA" w14:paraId="0995A3BB" w14:textId="64E81AE0">
      <w:pPr>
        <w:pStyle w:val="Paragraphedeliste"/>
        <w:keepNext/>
        <w:keepLines/>
        <w:numPr>
          <w:ilvl w:val="0"/>
          <w:numId w:val="3"/>
        </w:numPr>
        <w:rPr>
          <w:color w:val="000000" w:themeColor="text1"/>
        </w:rPr>
      </w:pPr>
      <w:r w:rsidRPr="00F0158E">
        <w:rPr>
          <w:color w:val="000000" w:themeColor="text1"/>
        </w:rPr>
        <w:t xml:space="preserve">- </w:t>
      </w:r>
      <w:r w:rsidRPr="00F0158E" w:rsidR="1EDECF99">
        <w:rPr>
          <w:color w:val="000000" w:themeColor="text1"/>
        </w:rPr>
        <w:t>Stands en festif étudiant ou non strictement étudiant</w:t>
      </w:r>
    </w:p>
    <w:p w:rsidRPr="00F0158E" w:rsidR="002B48E1" w:rsidP="1EDECF99" w:rsidRDefault="1EDECF99" w14:paraId="4E88D6BA" w14:textId="6AAD01DD">
      <w:pPr>
        <w:keepNext/>
        <w:keepLines/>
        <w:rPr>
          <w:color w:val="000000" w:themeColor="text1"/>
        </w:rPr>
      </w:pPr>
      <w:r w:rsidRPr="00F0158E">
        <w:rPr>
          <w:color w:val="000000" w:themeColor="text1"/>
        </w:rPr>
        <w:t>Ces stands sont tenus soit par des ERA en autonomie, au moins 2</w:t>
      </w:r>
      <w:r w:rsidRPr="00F0158E" w:rsidR="381127C0">
        <w:rPr>
          <w:color w:val="000000" w:themeColor="text1"/>
        </w:rPr>
        <w:t>,</w:t>
      </w:r>
      <w:r w:rsidRPr="00F0158E">
        <w:rPr>
          <w:color w:val="000000" w:themeColor="text1"/>
        </w:rPr>
        <w:t xml:space="preserve"> ou avec la présence d'une ou 2 coordinatrices du dispositif. Ces stands sont installés lors d’événements festifs qui peuvent être étudiants au sens strict, par exemple des galas ou des soirées organisées par des Bureau</w:t>
      </w:r>
      <w:r w:rsidRPr="00F0158E" w:rsidR="5E68DC6E">
        <w:rPr>
          <w:color w:val="000000" w:themeColor="text1"/>
        </w:rPr>
        <w:t>x</w:t>
      </w:r>
      <w:r w:rsidRPr="00F0158E">
        <w:rPr>
          <w:color w:val="000000" w:themeColor="text1"/>
        </w:rPr>
        <w:t xml:space="preserve"> des Etudiants (BDE), mais également des événements étudiants au sens large, organisés par plusieurs associations ou encore lors des barathons, organisés dans la ville et où on retrouve étudiants de l’</w:t>
      </w:r>
      <w:proofErr w:type="spellStart"/>
      <w:r w:rsidRPr="00F0158E">
        <w:rPr>
          <w:color w:val="000000" w:themeColor="text1"/>
        </w:rPr>
        <w:t>UniStra</w:t>
      </w:r>
      <w:proofErr w:type="spellEnd"/>
      <w:r w:rsidRPr="00F0158E">
        <w:rPr>
          <w:color w:val="000000" w:themeColor="text1"/>
        </w:rPr>
        <w:t xml:space="preserve"> et d’autres institutions. </w:t>
      </w:r>
    </w:p>
    <w:p w:rsidRPr="00F0158E" w:rsidR="002B48E1" w:rsidP="1EDECF99" w:rsidRDefault="1EDECF99" w14:paraId="6B54C6EA" w14:textId="77777777">
      <w:pPr>
        <w:keepNext/>
        <w:keepLines/>
        <w:rPr>
          <w:color w:val="000000" w:themeColor="text1"/>
        </w:rPr>
      </w:pPr>
      <w:r w:rsidRPr="00F0158E">
        <w:rPr>
          <w:color w:val="000000" w:themeColor="text1"/>
        </w:rPr>
        <w:t xml:space="preserve">Lors de certains événements, comme les barathons, l’équipe déambule dans la ville entre les points névralgiques. Si le début de soirée est très axé sur la sensibilisation, il apparaît que le versant “secours à la personne” prend de plus en plus de place au fur et à mesure de la soirée. </w:t>
      </w:r>
    </w:p>
    <w:p w:rsidRPr="00F0158E" w:rsidR="002B48E1" w:rsidP="1EDECF99" w:rsidRDefault="1EDECF99" w14:paraId="762895A1" w14:textId="0D8B7737">
      <w:pPr>
        <w:keepNext/>
        <w:keepLines/>
        <w:rPr>
          <w:color w:val="000000" w:themeColor="text1"/>
        </w:rPr>
      </w:pPr>
      <w:r w:rsidRPr="00F0158E">
        <w:rPr>
          <w:color w:val="000000" w:themeColor="text1"/>
        </w:rPr>
        <w:t xml:space="preserve">Sur les stands, on peut retrouver du matériel de </w:t>
      </w:r>
      <w:proofErr w:type="spellStart"/>
      <w:r w:rsidRPr="00F0158E">
        <w:rPr>
          <w:color w:val="000000" w:themeColor="text1"/>
        </w:rPr>
        <w:t>RdR</w:t>
      </w:r>
      <w:proofErr w:type="spellEnd"/>
      <w:r w:rsidRPr="00F0158E">
        <w:rPr>
          <w:color w:val="000000" w:themeColor="text1"/>
        </w:rPr>
        <w:t xml:space="preserve">, des flyers, mais également des “animations”, comme la boîte à Mystère DR (un jeu de mots avec le sigle </w:t>
      </w:r>
      <w:proofErr w:type="spellStart"/>
      <w:r w:rsidRPr="00F0158E">
        <w:rPr>
          <w:color w:val="000000" w:themeColor="text1"/>
        </w:rPr>
        <w:t>RdR</w:t>
      </w:r>
      <w:proofErr w:type="spellEnd"/>
      <w:r w:rsidRPr="00F0158E">
        <w:rPr>
          <w:color w:val="000000" w:themeColor="text1"/>
        </w:rPr>
        <w:t xml:space="preserve"> pour Réduction des Risques), dont l’objectif est de faire découvrir différents outils de </w:t>
      </w:r>
      <w:proofErr w:type="spellStart"/>
      <w:r w:rsidRPr="00F0158E">
        <w:rPr>
          <w:color w:val="000000" w:themeColor="text1"/>
        </w:rPr>
        <w:t>RdR</w:t>
      </w:r>
      <w:proofErr w:type="spellEnd"/>
      <w:r w:rsidRPr="00F0158E">
        <w:rPr>
          <w:color w:val="000000" w:themeColor="text1"/>
        </w:rPr>
        <w:t xml:space="preserve"> à l’aveugle. On peut également voir sur les stands et lors des déambulations une mascotte, nommée Albert DR</w:t>
      </w:r>
      <w:r w:rsidRPr="00F0158E" w:rsidR="4FA80271">
        <w:rPr>
          <w:color w:val="000000" w:themeColor="text1"/>
        </w:rPr>
        <w:t>,</w:t>
      </w:r>
      <w:r w:rsidRPr="00F0158E">
        <w:rPr>
          <w:color w:val="000000" w:themeColor="text1"/>
        </w:rPr>
        <w:t xml:space="preserve"> un poulpe en peluche, toujours pour rappeler le sigle </w:t>
      </w:r>
      <w:proofErr w:type="spellStart"/>
      <w:r w:rsidRPr="00F0158E">
        <w:rPr>
          <w:color w:val="000000" w:themeColor="text1"/>
        </w:rPr>
        <w:t>RdR</w:t>
      </w:r>
      <w:proofErr w:type="spellEnd"/>
      <w:r w:rsidRPr="00F0158E">
        <w:rPr>
          <w:color w:val="000000" w:themeColor="text1"/>
        </w:rPr>
        <w:t xml:space="preserve">. </w:t>
      </w:r>
    </w:p>
    <w:p w:rsidRPr="00F0158E" w:rsidR="5F6A31E1" w:rsidP="5F6A31E1" w:rsidRDefault="5F6A31E1" w14:paraId="7CCE5E5D" w14:textId="1CFB17FB">
      <w:pPr>
        <w:keepNext/>
        <w:keepLines/>
        <w:rPr>
          <w:color w:val="000000" w:themeColor="text1"/>
        </w:rPr>
      </w:pPr>
    </w:p>
    <w:p w:rsidRPr="00F0158E" w:rsidR="002B48E1" w:rsidP="1EDECF99" w:rsidRDefault="39EE246D" w14:paraId="200E9A8E" w14:textId="1BFD816A">
      <w:pPr>
        <w:pStyle w:val="Paragraphedeliste"/>
        <w:keepNext/>
        <w:keepLines/>
        <w:numPr>
          <w:ilvl w:val="0"/>
          <w:numId w:val="3"/>
        </w:numPr>
        <w:rPr>
          <w:color w:val="000000" w:themeColor="text1"/>
        </w:rPr>
      </w:pPr>
      <w:r w:rsidRPr="00F0158E">
        <w:rPr>
          <w:color w:val="000000" w:themeColor="text1"/>
        </w:rPr>
        <w:t xml:space="preserve">- </w:t>
      </w:r>
      <w:r w:rsidRPr="00F0158E" w:rsidR="1EDECF99">
        <w:rPr>
          <w:color w:val="000000" w:themeColor="text1"/>
        </w:rPr>
        <w:t xml:space="preserve">Sensibilisation </w:t>
      </w:r>
    </w:p>
    <w:p w:rsidRPr="00F0158E" w:rsidR="002B48E1" w:rsidP="1EDECF99" w:rsidRDefault="0F99C995" w14:paraId="57E29E7D" w14:textId="692E7642">
      <w:pPr>
        <w:keepNext/>
        <w:keepLines/>
        <w:rPr>
          <w:color w:val="000000" w:themeColor="text1"/>
        </w:rPr>
      </w:pPr>
      <w:r w:rsidRPr="00F0158E">
        <w:rPr>
          <w:color w:val="000000" w:themeColor="text1"/>
        </w:rPr>
        <w:lastRenderedPageBreak/>
        <w:t>Cet axe a notamment été développé avec l’arrivé</w:t>
      </w:r>
      <w:r w:rsidRPr="00F0158E" w:rsidR="23EE2EED">
        <w:rPr>
          <w:color w:val="000000" w:themeColor="text1"/>
        </w:rPr>
        <w:t>e</w:t>
      </w:r>
      <w:r w:rsidRPr="00F0158E">
        <w:rPr>
          <w:color w:val="000000" w:themeColor="text1"/>
        </w:rPr>
        <w:t xml:space="preserve"> d’Hélène Beaucolin, qui avait à cœur de travailler sur la transmission des savoirs. La sensibilisation est réalisée sur différents thèmes et à direction de différents publics. Ces modules de sensibilisation peuvent être menés par des professionnels ou par les ERA, dont l’implication est favorisée. En effet, l’un des objectifs est de les amener à avoir la capacité de mener une intervention en autonomie. Ces sessions de sensibilisation peuvent être à destination des étudiants et notamment des associations étudiantes</w:t>
      </w:r>
      <w:r w:rsidRPr="00F0158E" w:rsidR="6AC44ACD">
        <w:rPr>
          <w:color w:val="000000" w:themeColor="text1"/>
        </w:rPr>
        <w:t>,</w:t>
      </w:r>
      <w:r w:rsidRPr="00F0158E">
        <w:rPr>
          <w:color w:val="000000" w:themeColor="text1"/>
        </w:rPr>
        <w:t xml:space="preserve"> comme des personnels de l’université. Les thématiques les plus souvent abordées sont les suivantes : réduction des risques (</w:t>
      </w:r>
      <w:proofErr w:type="spellStart"/>
      <w:r w:rsidRPr="00F0158E">
        <w:rPr>
          <w:color w:val="000000" w:themeColor="text1"/>
        </w:rPr>
        <w:t>RdR</w:t>
      </w:r>
      <w:proofErr w:type="spellEnd"/>
      <w:r w:rsidRPr="00F0158E">
        <w:rPr>
          <w:color w:val="000000" w:themeColor="text1"/>
        </w:rPr>
        <w:t xml:space="preserve">) en lien avec l’alcool, </w:t>
      </w:r>
      <w:proofErr w:type="spellStart"/>
      <w:r w:rsidRPr="00F0158E">
        <w:rPr>
          <w:color w:val="000000" w:themeColor="text1"/>
        </w:rPr>
        <w:t>RdR</w:t>
      </w:r>
      <w:proofErr w:type="spellEnd"/>
      <w:r w:rsidRPr="00F0158E">
        <w:rPr>
          <w:color w:val="000000" w:themeColor="text1"/>
        </w:rPr>
        <w:t xml:space="preserve"> en milieu festif étudiant et Violences Sexistes, Sexuelles et Homophobes (VSSH) en milieu festif étudiant. </w:t>
      </w:r>
    </w:p>
    <w:p w:rsidRPr="00F0158E" w:rsidR="002B48E1" w:rsidP="1EDECF99" w:rsidRDefault="002B48E1" w14:paraId="5DAB6C7B" w14:textId="77777777">
      <w:pPr>
        <w:keepNext/>
        <w:keepLines/>
        <w:rPr>
          <w:color w:val="000000" w:themeColor="text1"/>
        </w:rPr>
      </w:pPr>
    </w:p>
    <w:p w:rsidRPr="00F0158E" w:rsidR="002B48E1" w:rsidP="1EDECF99" w:rsidRDefault="1EDECF99" w14:paraId="2422D85D" w14:textId="01CDC2FD">
      <w:pPr>
        <w:keepNext/>
        <w:keepLines/>
        <w:rPr>
          <w:color w:val="000000" w:themeColor="text1"/>
        </w:rPr>
      </w:pPr>
      <w:r w:rsidRPr="00F0158E">
        <w:rPr>
          <w:color w:val="000000" w:themeColor="text1"/>
        </w:rPr>
        <w:t xml:space="preserve">Si ces </w:t>
      </w:r>
      <w:r w:rsidRPr="00F0158E" w:rsidR="0A47B081">
        <w:rPr>
          <w:color w:val="000000" w:themeColor="text1"/>
        </w:rPr>
        <w:t>4</w:t>
      </w:r>
      <w:r w:rsidRPr="00F0158E">
        <w:rPr>
          <w:color w:val="000000" w:themeColor="text1"/>
        </w:rPr>
        <w:t xml:space="preserve"> axes sont opérés par les ERA, le projet dans sa globalité compte en fait </w:t>
      </w:r>
      <w:r w:rsidRPr="00F0158E" w:rsidR="04DF0AFB">
        <w:rPr>
          <w:color w:val="000000" w:themeColor="text1"/>
        </w:rPr>
        <w:t>6</w:t>
      </w:r>
      <w:r w:rsidRPr="00F0158E">
        <w:rPr>
          <w:color w:val="000000" w:themeColor="text1"/>
        </w:rPr>
        <w:t xml:space="preserve"> axes, donc deux supplémentaires qui sont également reliés au projet, sans être toutefois directement mis en œuvre par les ERA.  Ces deux axes participent à l’atteinte des objectifs du projet, notamment vis-à-vis du lien avec les étudiants et la connaissance des consommations “réelles” de ces derniers. </w:t>
      </w:r>
    </w:p>
    <w:p w:rsidRPr="00F0158E" w:rsidR="5F6A31E1" w:rsidP="5F6A31E1" w:rsidRDefault="5F6A31E1" w14:paraId="6EFF847B" w14:textId="21E394EA">
      <w:pPr>
        <w:keepNext/>
        <w:keepLines/>
        <w:rPr>
          <w:color w:val="000000" w:themeColor="text1"/>
        </w:rPr>
      </w:pPr>
    </w:p>
    <w:p w:rsidRPr="00F0158E" w:rsidR="002B48E1" w:rsidP="1EDECF99" w:rsidRDefault="5E0D7B81" w14:paraId="106A9A66" w14:textId="7846037E">
      <w:pPr>
        <w:pStyle w:val="Paragraphedeliste"/>
        <w:keepNext/>
        <w:keepLines/>
        <w:numPr>
          <w:ilvl w:val="0"/>
          <w:numId w:val="2"/>
        </w:numPr>
        <w:rPr>
          <w:color w:val="000000" w:themeColor="text1"/>
        </w:rPr>
      </w:pPr>
      <w:r w:rsidRPr="00F0158E">
        <w:rPr>
          <w:color w:val="000000" w:themeColor="text1"/>
        </w:rPr>
        <w:t xml:space="preserve">- </w:t>
      </w:r>
      <w:r w:rsidRPr="00F0158E" w:rsidR="1EDECF99">
        <w:rPr>
          <w:color w:val="000000" w:themeColor="text1"/>
        </w:rPr>
        <w:t>Incubateur à projets</w:t>
      </w:r>
    </w:p>
    <w:p w:rsidRPr="00F0158E" w:rsidR="002B48E1" w:rsidP="1EDECF99" w:rsidRDefault="0F99C995" w14:paraId="4F80214B" w14:textId="377E751B">
      <w:pPr>
        <w:keepNext/>
        <w:keepLines/>
        <w:rPr>
          <w:color w:val="000000" w:themeColor="text1"/>
        </w:rPr>
      </w:pPr>
      <w:r w:rsidRPr="00F0158E">
        <w:rPr>
          <w:color w:val="000000" w:themeColor="text1"/>
        </w:rPr>
        <w:t>L’incubateur à projets est un projet pensé directement avec l’</w:t>
      </w:r>
      <w:proofErr w:type="spellStart"/>
      <w:r w:rsidRPr="00F0158E">
        <w:rPr>
          <w:color w:val="000000" w:themeColor="text1"/>
        </w:rPr>
        <w:t>UniStra</w:t>
      </w:r>
      <w:proofErr w:type="spellEnd"/>
      <w:r w:rsidRPr="00F0158E">
        <w:rPr>
          <w:color w:val="000000" w:themeColor="text1"/>
        </w:rPr>
        <w:t xml:space="preserve">. Il s’agit d’un programme venant de l’université et plus particulièrement avec son IDIP (Institut de développement et d'innovation pédagogiques), offrant la possibilité à des étudiants de réaliser des “missions professionnelles” venant de commanditaires comme des associations, des entreprises ou des administrations. Ithaque a par exemple proposé un projet pour ce programme. Le cahier des charges était de réaliser 3 plans de scénarisation et entre 1 et 3 vidéos courtes traitant de réduction des risques. Le groupe d’étudiants est suivi et accompagné par l’équipe d’Ithaque et l’université pour réaliser au mieux ses missions. </w:t>
      </w:r>
    </w:p>
    <w:p w:rsidRPr="00F0158E" w:rsidR="002B48E1" w:rsidP="1EDECF99" w:rsidRDefault="002B48E1" w14:paraId="02EB378F" w14:textId="77777777">
      <w:pPr>
        <w:keepNext/>
        <w:keepLines/>
        <w:rPr>
          <w:color w:val="000000" w:themeColor="text1"/>
        </w:rPr>
      </w:pPr>
    </w:p>
    <w:p w:rsidRPr="00F0158E" w:rsidR="002B48E1" w:rsidP="1EDECF99" w:rsidRDefault="6DB3A7E9" w14:paraId="0E1CC792" w14:textId="612C5821">
      <w:pPr>
        <w:pStyle w:val="Paragraphedeliste"/>
        <w:keepNext/>
        <w:keepLines/>
        <w:numPr>
          <w:ilvl w:val="0"/>
          <w:numId w:val="2"/>
        </w:numPr>
        <w:rPr>
          <w:color w:val="000000" w:themeColor="text1"/>
        </w:rPr>
      </w:pPr>
      <w:r w:rsidRPr="00F0158E">
        <w:rPr>
          <w:color w:val="000000" w:themeColor="text1"/>
        </w:rPr>
        <w:t xml:space="preserve">- </w:t>
      </w:r>
      <w:r w:rsidRPr="00F0158E" w:rsidR="1EDECF99">
        <w:rPr>
          <w:color w:val="000000" w:themeColor="text1"/>
        </w:rPr>
        <w:t xml:space="preserve">Questionnaire </w:t>
      </w:r>
    </w:p>
    <w:p w:rsidRPr="00F0158E" w:rsidR="002B48E1" w:rsidP="1EDECF99" w:rsidRDefault="1EDECF99" w14:paraId="2593D484" w14:textId="77777777">
      <w:pPr>
        <w:keepNext/>
        <w:keepLines/>
        <w:rPr>
          <w:color w:val="000000" w:themeColor="text1"/>
        </w:rPr>
      </w:pPr>
      <w:r w:rsidRPr="00F0158E">
        <w:rPr>
          <w:color w:val="000000" w:themeColor="text1"/>
        </w:rPr>
        <w:t>Ce questionnaire, diffusé largement aux étudiants de l’</w:t>
      </w:r>
      <w:proofErr w:type="spellStart"/>
      <w:r w:rsidRPr="00F0158E">
        <w:rPr>
          <w:color w:val="000000" w:themeColor="text1"/>
        </w:rPr>
        <w:t>UniStra</w:t>
      </w:r>
      <w:proofErr w:type="spellEnd"/>
      <w:r w:rsidRPr="00F0158E">
        <w:rPr>
          <w:color w:val="000000" w:themeColor="text1"/>
        </w:rPr>
        <w:t xml:space="preserve">, permet d’explorer leurs problématiques addictives, dans le contexte étudiant. En 2023, 1955 réponses complètes ont été collectées. Ces données permettent de mieux connaître les profils et les types de consommation chez les étudiants de Strasbourg. Les réponses au questionnaire sont traitées par le pôle recherche de l’association. </w:t>
      </w:r>
    </w:p>
    <w:p w:rsidRPr="00F0158E" w:rsidR="002B48E1" w:rsidP="4306CD06" w:rsidRDefault="1EDECF99" w14:paraId="711C9115" w14:textId="77777777">
      <w:pPr>
        <w:pStyle w:val="Titre2"/>
        <w:rPr>
          <w:rFonts w:ascii="Aptos" w:hAnsi="Aptos" w:eastAsia="Aptos" w:cs="Aptos"/>
          <w:color w:val="000000" w:themeColor="text1"/>
          <w:sz w:val="30"/>
          <w:szCs w:val="30"/>
        </w:rPr>
      </w:pPr>
      <w:r w:rsidRPr="4306CD06" w:rsidR="1EDECF99">
        <w:rPr>
          <w:color w:val="000000" w:themeColor="text1" w:themeTint="FF" w:themeShade="FF"/>
          <w:sz w:val="30"/>
          <w:szCs w:val="30"/>
        </w:rPr>
        <w:t>Logistique</w:t>
      </w:r>
      <w:r w:rsidRPr="4306CD06" w:rsidR="1EDECF99">
        <w:rPr>
          <w:rFonts w:ascii="Aptos Display" w:hAnsi="Aptos Display" w:eastAsia="Aptos Display" w:cs="Aptos Display"/>
          <w:color w:val="000000" w:themeColor="text1" w:themeTint="FF" w:themeShade="FF"/>
          <w:sz w:val="30"/>
          <w:szCs w:val="30"/>
        </w:rPr>
        <w:t xml:space="preserve"> </w:t>
      </w:r>
    </w:p>
    <w:p w:rsidRPr="00F0158E" w:rsidR="002B48E1" w:rsidP="1EDECF99" w:rsidRDefault="0F99C995" w14:paraId="152AADC1" w14:textId="4A9F64E0">
      <w:pPr>
        <w:rPr>
          <w:color w:val="000000" w:themeColor="text1"/>
        </w:rPr>
      </w:pPr>
      <w:r w:rsidRPr="00F0158E">
        <w:rPr>
          <w:color w:val="000000" w:themeColor="text1"/>
        </w:rPr>
        <w:lastRenderedPageBreak/>
        <w:t xml:space="preserve">Concernant le matériel, il y a celui utilisé pour les bornes de </w:t>
      </w:r>
      <w:proofErr w:type="spellStart"/>
      <w:r w:rsidRPr="00F0158E">
        <w:rPr>
          <w:color w:val="000000" w:themeColor="text1"/>
        </w:rPr>
        <w:t>RdR</w:t>
      </w:r>
      <w:proofErr w:type="spellEnd"/>
      <w:r w:rsidRPr="00F0158E">
        <w:rPr>
          <w:color w:val="000000" w:themeColor="text1"/>
        </w:rPr>
        <w:t xml:space="preserve"> : flyers sur les différents produits mais aussi modes de consommation, goodies de communication, présentation d’outils e-santé et d’orientation, informations générales sur l’addictologie et matériel de RDR (bouchons d’oreille, matériel de sniff, préservatifs internes et externes, lubrifiants, éthylotests, etc.). Il y a également celui utilisé pour les stands festifs (galas, soirées...) ou non festif, comme lors des journées de rentrée. Pour les déambulations, l’équipe dispose également d’un chariot faisant office de stand mobile et leur permettant de transporter facilement leur matériel. </w:t>
      </w:r>
    </w:p>
    <w:p w:rsidRPr="00F0158E" w:rsidR="002B48E1" w:rsidP="1EDECF99" w:rsidRDefault="1EDECF99" w14:paraId="7AB076AA" w14:textId="77777777">
      <w:pPr>
        <w:rPr>
          <w:color w:val="000000" w:themeColor="text1"/>
        </w:rPr>
      </w:pPr>
      <w:r w:rsidRPr="00F0158E">
        <w:rPr>
          <w:color w:val="000000" w:themeColor="text1"/>
        </w:rPr>
        <w:t xml:space="preserve">Les contrats des ERA sont gérés par le SSE. Il y a chaque année 7 ERA, issus de différents cursus et campus. Ils ont chacun un contrat étudiant de 20 heures par mois au maximum, rémunéré via le SSE mais par les fonds issus de l’AAP, versés à Ithaque. Du fait de la complexité administrative, les salaires sont versés avec du retard, en général un ou deux mois, un écueil qu’on peut retrouver dans d’autres dispositifs “étudiants relais”. </w:t>
      </w:r>
    </w:p>
    <w:p w:rsidRPr="00F0158E" w:rsidR="002B48E1" w:rsidP="1EDECF99" w:rsidRDefault="66D36DEF" w14:paraId="4C723B8C" w14:textId="5CE701BD">
      <w:pPr>
        <w:rPr>
          <w:color w:val="000000" w:themeColor="text1"/>
        </w:rPr>
      </w:pPr>
      <w:r w:rsidRPr="00F0158E">
        <w:rPr>
          <w:color w:val="000000" w:themeColor="text1"/>
        </w:rPr>
        <w:t>Pour l’année 2025</w:t>
      </w:r>
      <w:r w:rsidRPr="00F0158E" w:rsidR="0F99C995">
        <w:rPr>
          <w:color w:val="000000" w:themeColor="text1"/>
        </w:rPr>
        <w:t xml:space="preserve">, les contrats </w:t>
      </w:r>
      <w:r w:rsidRPr="00F0158E" w:rsidR="0A316F66">
        <w:rPr>
          <w:color w:val="000000" w:themeColor="text1"/>
        </w:rPr>
        <w:t xml:space="preserve">ont débuté </w:t>
      </w:r>
      <w:r w:rsidRPr="00F0158E" w:rsidR="0F99C995">
        <w:rPr>
          <w:color w:val="000000" w:themeColor="text1"/>
        </w:rPr>
        <w:t xml:space="preserve">au 1er octobre, ce qui permet d’effectuer le recrutement des nouveaux ERA sereinement à la rentrée. Les événements de la rentrée sont assurés par des ERA renouvelant leur engagement qui disposent d’un contrat temporaire d’un mois à cet effet. Les contrats sont conclus pour une année universitaire pleine, donc globalement d’octobre à juin. </w:t>
      </w:r>
    </w:p>
    <w:p w:rsidRPr="00F0158E" w:rsidR="002B48E1" w:rsidP="1EDECF99" w:rsidRDefault="0F99C995" w14:paraId="019449EE" w14:textId="0C1054F3">
      <w:pPr>
        <w:rPr>
          <w:color w:val="000000" w:themeColor="text1"/>
        </w:rPr>
      </w:pPr>
      <w:r w:rsidRPr="00F0158E">
        <w:rPr>
          <w:color w:val="000000" w:themeColor="text1"/>
        </w:rPr>
        <w:t xml:space="preserve">La gestion de l’équipe des ERA est notamment assurée par Fanny Labeth, qui coordonne réellement les étudiants dans leurs actions. Des réunions mensuelles à bimensuelles sont organisées en fonction des disponibilités des ERA et des salles. Lors de ces réunions, l’équipe balaie les actions réalisées et à venir, aborde des thématiques spécifiques si nécessaire, rappelle qui doit assurer les prochaines permanences sur les réseaux sociaux et donc répondre aux messages sur ces derniers, font le tour des bornes et leur stock... Ces temps sont l’occasion pour les ERA de s’exprimer sur leurs interrogations ou sur des difficultés rencontrées. Les deux salariées sont également joignables en dehors de ces temps de regroupement via le Discord de l’équipe ou leur téléphone professionnel. </w:t>
      </w:r>
    </w:p>
    <w:p w:rsidRPr="00F0158E" w:rsidR="002B48E1" w:rsidP="4306CD06" w:rsidRDefault="1EDECF99" w14:paraId="799E6E30" w14:textId="77777777">
      <w:pPr>
        <w:pStyle w:val="Titre2"/>
        <w:rPr>
          <w:color w:val="000000" w:themeColor="text1"/>
          <w:sz w:val="30"/>
          <w:szCs w:val="30"/>
        </w:rPr>
      </w:pPr>
      <w:r w:rsidRPr="4306CD06" w:rsidR="1EDECF99">
        <w:rPr>
          <w:color w:val="000000" w:themeColor="text1" w:themeTint="FF" w:themeShade="FF"/>
          <w:sz w:val="30"/>
          <w:szCs w:val="30"/>
        </w:rPr>
        <w:t>Financement</w:t>
      </w:r>
    </w:p>
    <w:p w:rsidRPr="00F0158E" w:rsidR="002B48E1" w:rsidP="1EDECF99" w:rsidRDefault="1EDECF99" w14:paraId="5ABB8752" w14:textId="77777777">
      <w:pPr>
        <w:keepNext/>
        <w:keepLines/>
        <w:rPr>
          <w:color w:val="000000" w:themeColor="text1"/>
        </w:rPr>
      </w:pPr>
      <w:r w:rsidRPr="00F0158E">
        <w:rPr>
          <w:color w:val="000000" w:themeColor="text1"/>
        </w:rPr>
        <w:t xml:space="preserve">Le projet est financé en majeure partie par l’Agence Régionale de Santé (ARS) du Grand-Est, via la réponse à un Appel A Projets (AAP). L’ARS a versé 400 000€ pour une durée du projet de 3 ans, du 1er janvier 2023 au 31 décembre 2025. La demande initiale était de 900 000€. La Caisse Primaire d’Assurance Maladie (CPAM) a par le passé également contribué au financement du projet, dans une moindre mesure que l’ARS. Aujourd’hui, c’est la Mutualité Sociale Agricole (MSA) qui finance une partie du projet, à hauteur de 50 000 à 70 000€ par an. </w:t>
      </w:r>
    </w:p>
    <w:p w:rsidRPr="00F0158E" w:rsidR="002B48E1" w:rsidP="1EDECF99" w:rsidRDefault="1EDECF99" w14:paraId="4B1C3C8A" w14:textId="77777777">
      <w:pPr>
        <w:keepNext/>
        <w:keepLines/>
        <w:rPr>
          <w:color w:val="000000" w:themeColor="text1"/>
        </w:rPr>
      </w:pPr>
      <w:r w:rsidRPr="00F0158E">
        <w:rPr>
          <w:color w:val="000000" w:themeColor="text1"/>
        </w:rPr>
        <w:t xml:space="preserve">Ce budget permet notamment de payer les différents salaires : ceux des ERA, celui de la chargée du projet, Hélène Beaucolin, et une partie de celui de l’infirmière coordinatrice, Fanny Labeth. Le reste du budget sert à l’achat de matériel ainsi que pour des prestations d’acteurs extérieurs comme des sexothérapeutes lors d’un événement en lien avec la santé sexuelle. </w:t>
      </w:r>
    </w:p>
    <w:p w:rsidRPr="00F0158E" w:rsidR="002B48E1" w:rsidP="1EDECF99" w:rsidRDefault="1EDECF99" w14:paraId="50C76A51" w14:textId="77777777">
      <w:pPr>
        <w:pStyle w:val="Titre2"/>
        <w:rPr>
          <w:rFonts w:ascii="Aptos Display" w:hAnsi="Aptos Display" w:eastAsia="Aptos Display" w:cs="Aptos Display"/>
          <w:color w:val="000000" w:themeColor="text1"/>
        </w:rPr>
      </w:pPr>
      <w:r w:rsidRPr="00F0158E">
        <w:rPr>
          <w:rFonts w:ascii="Aptos Display" w:hAnsi="Aptos Display" w:eastAsia="Aptos Display" w:cs="Aptos Display"/>
          <w:color w:val="000000" w:themeColor="text1"/>
        </w:rPr>
        <w:t>Principaux acteurs et partenaires</w:t>
      </w:r>
    </w:p>
    <w:p w:rsidRPr="00F0158E" w:rsidR="002B48E1" w:rsidP="1EDECF99" w:rsidRDefault="1EDECF99" w14:paraId="59615869" w14:textId="77777777">
      <w:pPr>
        <w:keepNext/>
        <w:keepLines/>
        <w:rPr>
          <w:color w:val="000000" w:themeColor="text1"/>
        </w:rPr>
      </w:pPr>
      <w:r w:rsidRPr="00F0158E">
        <w:rPr>
          <w:color w:val="000000" w:themeColor="text1"/>
        </w:rPr>
        <w:t xml:space="preserve">Ce projet est porté majoritairement par l’association Ithaque, qui en assure la mise en œuvre, le suivi et l’évaluation. Le partenariat avec le SSE permet la contractualisation des ERA sur le schéma des contrats étudiants.  L’ARS Grand-Est, la CPAM et MSA contribuent ou ont contribué au projet en le finançant, soit via les fonds issus de l’appel à projets ou via une subvention directe. </w:t>
      </w:r>
    </w:p>
    <w:p w:rsidRPr="00F0158E" w:rsidR="002B48E1" w:rsidP="1EDECF99" w:rsidRDefault="1EDECF99" w14:paraId="51816A65" w14:textId="77777777">
      <w:pPr>
        <w:keepNext/>
        <w:keepLines/>
        <w:rPr>
          <w:color w:val="000000" w:themeColor="text1"/>
        </w:rPr>
      </w:pPr>
      <w:r w:rsidRPr="00F0158E">
        <w:rPr>
          <w:color w:val="000000" w:themeColor="text1"/>
        </w:rPr>
        <w:t xml:space="preserve">Le projet fonctionne également en collaboration avec d’autres acteurs du milieu de l’enseignement supérieur. Ainsi, les associations étudiantes peuvent faire appel à l’équipe des ERA afin de travailler sur leurs projets d’évènements festifs, soit pour récupérer directement du matériel de réduction des risques ou pour installer un stand tenu par des ERA et des salariés si l’ampleur de l’événement le demande. Ces événements festifs peuvent être des weekends d’intégration (WEI), des soirées classiques ou à thèmes, des galas... Les associations peuvent également bénéficier de modules de sensibilisation sur les risques festifs. </w:t>
      </w:r>
    </w:p>
    <w:p w:rsidRPr="00F0158E" w:rsidR="002B48E1" w:rsidP="1EDECF99" w:rsidRDefault="1EDECF99" w14:paraId="502F455B" w14:textId="77777777">
      <w:pPr>
        <w:keepNext/>
        <w:keepLines/>
        <w:rPr>
          <w:color w:val="000000" w:themeColor="text1"/>
        </w:rPr>
      </w:pPr>
      <w:r w:rsidRPr="00F0158E">
        <w:rPr>
          <w:color w:val="000000" w:themeColor="text1"/>
        </w:rPr>
        <w:t>Les personnels de l’</w:t>
      </w:r>
      <w:proofErr w:type="spellStart"/>
      <w:r w:rsidRPr="00F0158E">
        <w:rPr>
          <w:color w:val="000000" w:themeColor="text1"/>
        </w:rPr>
        <w:t>UniStra</w:t>
      </w:r>
      <w:proofErr w:type="spellEnd"/>
      <w:r w:rsidRPr="00F0158E">
        <w:rPr>
          <w:color w:val="000000" w:themeColor="text1"/>
        </w:rPr>
        <w:t xml:space="preserve"> peuvent également bénéficier du projet, via les moments de sensibilisation organisés par l’équipe à destination des personnels de l’université. Ces modules de sensibilisation peuvent par exemple permettre aux personnels concernés de comprendre les enjeux des bornes de réduction des risques, installés par exemple au SSE ou encore dans une BU. </w:t>
      </w:r>
    </w:p>
    <w:p w:rsidRPr="00F0158E" w:rsidR="002B48E1" w:rsidP="1EDECF99" w:rsidRDefault="1EDECF99" w14:paraId="1D6D10CF" w14:textId="77777777">
      <w:pPr>
        <w:keepNext/>
        <w:keepLines/>
        <w:rPr>
          <w:color w:val="000000" w:themeColor="text1"/>
        </w:rPr>
      </w:pPr>
      <w:r w:rsidRPr="00F0158E">
        <w:rPr>
          <w:color w:val="000000" w:themeColor="text1"/>
        </w:rPr>
        <w:t xml:space="preserve">Plus récemment, un partenariat avec l’association “Cop1 - solidarités étudiante” s’est noué. Cette association œuvre notamment sur les questions d’aide alimentaire avec des distributions de paniers alimentaires pour les étudiants. Ce sont lors de ces distributions que les ERA peuvent effectuer différentes actions comme de la délivrance de matériel de </w:t>
      </w:r>
      <w:proofErr w:type="spellStart"/>
      <w:r w:rsidRPr="00F0158E">
        <w:rPr>
          <w:color w:val="000000" w:themeColor="text1"/>
        </w:rPr>
        <w:t>RdR</w:t>
      </w:r>
      <w:proofErr w:type="spellEnd"/>
      <w:r w:rsidRPr="00F0158E">
        <w:rPr>
          <w:color w:val="000000" w:themeColor="text1"/>
        </w:rPr>
        <w:t xml:space="preserve">. </w:t>
      </w:r>
    </w:p>
    <w:p w:rsidRPr="00F0158E" w:rsidR="002B48E1" w:rsidP="4306CD06" w:rsidRDefault="1EDECF99" w14:paraId="65B3930F" w14:textId="77777777">
      <w:pPr>
        <w:pStyle w:val="Titre2"/>
        <w:rPr>
          <w:rFonts w:ascii="Aptos Display" w:hAnsi="Aptos Display" w:eastAsia="Aptos Display" w:cs="Aptos Display"/>
          <w:color w:val="000000" w:themeColor="text1"/>
          <w:sz w:val="30"/>
          <w:szCs w:val="30"/>
        </w:rPr>
      </w:pPr>
      <w:r w:rsidRPr="4306CD06" w:rsidR="1EDECF99">
        <w:rPr>
          <w:rFonts w:ascii="Aptos Display" w:hAnsi="Aptos Display" w:eastAsia="Aptos Display" w:cs="Aptos Display"/>
          <w:color w:val="000000" w:themeColor="text1" w:themeTint="FF" w:themeShade="FF"/>
          <w:sz w:val="30"/>
          <w:szCs w:val="30"/>
        </w:rPr>
        <w:t>Mobilisation du public</w:t>
      </w:r>
    </w:p>
    <w:p w:rsidRPr="00F0158E" w:rsidR="002B48E1" w:rsidP="1EDECF99" w:rsidRDefault="1EDECF99" w14:paraId="4EFC6BA0" w14:textId="77777777">
      <w:pPr>
        <w:keepNext/>
        <w:keepLines/>
        <w:rPr>
          <w:color w:val="000000" w:themeColor="text1"/>
        </w:rPr>
      </w:pPr>
      <w:r w:rsidRPr="00F0158E">
        <w:rPr>
          <w:color w:val="000000" w:themeColor="text1"/>
        </w:rPr>
        <w:t xml:space="preserve">Le projet ERA fonctionne sur une logique de pair à pair. Les étudiants ont exprimé le besoin de “parler vrai”, en rentrant dans le concret de leurs problématiques. Cette parole est favorisée par un discours non-stigmatisant et bienveillant tenu par l’équipe des ERA. De plus, il a été identifié que cette parole était facilitée par le fait de pouvoir échanger avec d’autres étudiants. </w:t>
      </w:r>
    </w:p>
    <w:p w:rsidRPr="00F0158E" w:rsidR="002B48E1" w:rsidP="1EDECF99" w:rsidRDefault="1EDECF99" w14:paraId="22B9F154" w14:textId="77777777">
      <w:pPr>
        <w:keepNext/>
        <w:keepLines/>
        <w:rPr>
          <w:color w:val="000000" w:themeColor="text1"/>
        </w:rPr>
      </w:pPr>
      <w:r w:rsidRPr="00F0158E">
        <w:rPr>
          <w:color w:val="000000" w:themeColor="text1"/>
        </w:rPr>
        <w:t xml:space="preserve">Différents outils sont utilisés pour favoriser les échanges avec les étudiants, comme la boîte à mystère DR ou Albert DR, la mascotte de l’équipe. Le projet, comme l’association Ithaque accorde une place importante à la parole des usagers, en les considérant comme des experts de leurs consommations. </w:t>
      </w:r>
    </w:p>
    <w:p w:rsidRPr="00F0158E" w:rsidR="002B48E1" w:rsidP="4306CD06" w:rsidRDefault="1EDECF99" w14:paraId="6FC9914D" w14:textId="77777777">
      <w:pPr>
        <w:pStyle w:val="Titre2"/>
        <w:rPr>
          <w:rFonts w:ascii="Aptos Display" w:hAnsi="Aptos Display" w:eastAsia="Aptos Display" w:cs="Aptos Display"/>
          <w:color w:val="000000" w:themeColor="text1"/>
          <w:sz w:val="30"/>
          <w:szCs w:val="30"/>
        </w:rPr>
      </w:pPr>
      <w:r w:rsidRPr="4306CD06" w:rsidR="1EDECF99">
        <w:rPr>
          <w:rFonts w:ascii="Aptos Display" w:hAnsi="Aptos Display" w:eastAsia="Aptos Display" w:cs="Aptos Display"/>
          <w:color w:val="000000" w:themeColor="text1" w:themeTint="FF" w:themeShade="FF"/>
          <w:sz w:val="30"/>
          <w:szCs w:val="30"/>
        </w:rPr>
        <w:t xml:space="preserve">Communication </w:t>
      </w:r>
    </w:p>
    <w:p w:rsidRPr="00F0158E" w:rsidR="002B48E1" w:rsidP="5F6A31E1" w:rsidRDefault="1EDECF99" w14:paraId="0BAACC75" w14:textId="11D9CF13">
      <w:pPr>
        <w:rPr>
          <w:rFonts w:ascii="Aptos Display" w:hAnsi="Aptos Display" w:eastAsia="Aptos Display" w:cs="Aptos Display"/>
          <w:color w:val="000000" w:themeColor="text1"/>
          <w:sz w:val="32"/>
          <w:szCs w:val="32"/>
        </w:rPr>
      </w:pPr>
      <w:r w:rsidRPr="00F0158E">
        <w:rPr>
          <w:rFonts w:ascii="Aptos" w:hAnsi="Aptos" w:eastAsia="Aptos" w:cs="Aptos"/>
          <w:color w:val="000000" w:themeColor="text1"/>
        </w:rPr>
        <w:t>La communication est considérée comme un enjeu majeur du projet. Elle est donc pensée comme une v</w:t>
      </w:r>
      <w:r w:rsidRPr="00F0158E" w:rsidR="4D2FBF66">
        <w:rPr>
          <w:rFonts w:ascii="Aptos" w:hAnsi="Aptos" w:eastAsia="Aptos" w:cs="Aptos"/>
          <w:color w:val="000000" w:themeColor="text1"/>
        </w:rPr>
        <w:t xml:space="preserve">éritable </w:t>
      </w:r>
      <w:r w:rsidRPr="00F0158E">
        <w:rPr>
          <w:rFonts w:ascii="Aptos" w:hAnsi="Aptos" w:eastAsia="Aptos" w:cs="Aptos"/>
          <w:color w:val="000000" w:themeColor="text1"/>
        </w:rPr>
        <w:t xml:space="preserve">stratégie. On peut retrouver une présence des ERA sur Facebook (notamment pour les étudiants internationaux) et sur Instagram. Chaque ERA dispose d’une boîte mail dédiée </w:t>
      </w:r>
      <w:proofErr w:type="spellStart"/>
      <w:r w:rsidRPr="00F0158E">
        <w:rPr>
          <w:rFonts w:ascii="Aptos" w:hAnsi="Aptos" w:eastAsia="Aptos" w:cs="Aptos"/>
          <w:color w:val="000000" w:themeColor="text1"/>
        </w:rPr>
        <w:t>Unistra</w:t>
      </w:r>
      <w:proofErr w:type="spellEnd"/>
      <w:r w:rsidRPr="00F0158E">
        <w:rPr>
          <w:rFonts w:ascii="Aptos" w:hAnsi="Aptos" w:eastAsia="Aptos" w:cs="Aptos"/>
          <w:color w:val="000000" w:themeColor="text1"/>
        </w:rPr>
        <w:t xml:space="preserve"> sur le modèle : </w:t>
      </w:r>
      <w:hyperlink r:id="rId13">
        <w:r w:rsidRPr="00F0158E">
          <w:rPr>
            <w:rStyle w:val="Lienhypertexte"/>
            <w:rFonts w:ascii="Aptos" w:hAnsi="Aptos" w:eastAsia="Aptos" w:cs="Aptos"/>
            <w:color w:val="000000" w:themeColor="text1"/>
          </w:rPr>
          <w:t>prénom.etudiantaddicto@unistra.fr</w:t>
        </w:r>
      </w:hyperlink>
      <w:r w:rsidRPr="00F0158E">
        <w:rPr>
          <w:rFonts w:ascii="Aptos" w:hAnsi="Aptos" w:eastAsia="Aptos" w:cs="Aptos"/>
          <w:color w:val="000000" w:themeColor="text1"/>
        </w:rPr>
        <w:t xml:space="preserve">. Le compte Instagram sert à la fois de moyen de communication vers l’extérieur et de contact vers les ERA. Ces derniers assurent une permanence d’une semaine au moins 6 fois par an. Cette permanence sert à traiter les messages “directs” reçus sur le compte. </w:t>
      </w:r>
    </w:p>
    <w:p w:rsidRPr="00F0158E" w:rsidR="002B48E1" w:rsidP="1EDECF99" w:rsidRDefault="1EDECF99" w14:paraId="26628C63" w14:textId="77777777">
      <w:pPr>
        <w:rPr>
          <w:rFonts w:ascii="Aptos" w:hAnsi="Aptos" w:eastAsia="Aptos" w:cs="Aptos"/>
          <w:color w:val="000000" w:themeColor="text1"/>
        </w:rPr>
      </w:pPr>
      <w:r w:rsidRPr="00F0158E">
        <w:rPr>
          <w:rFonts w:ascii="Aptos" w:hAnsi="Aptos" w:eastAsia="Aptos" w:cs="Aptos"/>
          <w:color w:val="000000" w:themeColor="text1"/>
        </w:rPr>
        <w:t>Des outils plus “classiques” sont également mobilisés comme des flyers et des affiches. On peut par exemple voir un exemple de support présentant directement les ERA, ce qui permet de les identifier par leur nom, et jusqu’à cette année par leur cursus universitaire. Chaque année, une campagne d’affiche/tractage est organisée pour faire connaître le dispositif auprès des étudiants mais également des personnels, notamment de l’</w:t>
      </w:r>
      <w:proofErr w:type="spellStart"/>
      <w:r w:rsidRPr="00F0158E">
        <w:rPr>
          <w:rFonts w:ascii="Aptos" w:hAnsi="Aptos" w:eastAsia="Aptos" w:cs="Aptos"/>
          <w:color w:val="000000" w:themeColor="text1"/>
        </w:rPr>
        <w:t>UniStra</w:t>
      </w:r>
      <w:proofErr w:type="spellEnd"/>
      <w:r w:rsidRPr="00F0158E">
        <w:rPr>
          <w:rFonts w:ascii="Aptos" w:hAnsi="Aptos" w:eastAsia="Aptos" w:cs="Aptos"/>
          <w:color w:val="000000" w:themeColor="text1"/>
        </w:rPr>
        <w:t xml:space="preserve">. </w:t>
      </w:r>
    </w:p>
    <w:p w:rsidRPr="00F0158E" w:rsidR="002B48E1" w:rsidP="1EDECF99" w:rsidRDefault="1EDECF99" w14:paraId="43BD4D1C" w14:textId="77777777">
      <w:pPr>
        <w:rPr>
          <w:rFonts w:ascii="Aptos" w:hAnsi="Aptos" w:eastAsia="Aptos" w:cs="Aptos"/>
          <w:color w:val="000000" w:themeColor="text1"/>
        </w:rPr>
      </w:pPr>
      <w:r w:rsidRPr="00F0158E">
        <w:rPr>
          <w:rFonts w:ascii="Aptos" w:hAnsi="Aptos" w:eastAsia="Aptos" w:cs="Aptos"/>
          <w:color w:val="000000" w:themeColor="text1"/>
        </w:rPr>
        <w:t xml:space="preserve">La communication peut être réalisée par les ERA, notamment via la création de contenus pour les réseaux sociaux. L’essentiel du travail de communication en ligne est toutefois fait par l’équipe de coordination du projet, afin de permettre une certaine cohérence. </w:t>
      </w:r>
    </w:p>
    <w:p w:rsidRPr="00F0158E" w:rsidR="002B48E1" w:rsidP="1EDECF99" w:rsidRDefault="00AB09EC" w14:paraId="6A05A809" w14:textId="77777777">
      <w:pPr>
        <w:rPr>
          <w:rFonts w:ascii="Aptos" w:hAnsi="Aptos" w:eastAsia="Aptos" w:cs="Aptos"/>
          <w:color w:val="000000" w:themeColor="text1"/>
        </w:rPr>
      </w:pPr>
      <w:r w:rsidRPr="00F0158E">
        <w:rPr>
          <w:noProof/>
          <w:color w:val="000000" w:themeColor="text1"/>
        </w:rPr>
        <w:lastRenderedPageBreak/>
        <mc:AlternateContent>
          <mc:Choice Requires="wpg">
            <w:drawing>
              <wp:inline distT="0" distB="0" distL="0" distR="0" wp14:anchorId="705396E7" wp14:editId="07777777">
                <wp:extent cx="4057650" cy="4057650"/>
                <wp:effectExtent l="0" t="0" r="0" b="0"/>
                <wp:docPr id="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56044" name=""/>
                        <pic:cNvPicPr>
                          <a:picLocks noChangeAspect="1"/>
                        </pic:cNvPicPr>
                      </pic:nvPicPr>
                      <pic:blipFill rotWithShape="1">
                        <a:blip r:embed="rId14"/>
                        <a:stretch/>
                      </pic:blipFill>
                      <pic:spPr bwMode="auto">
                        <a:xfrm>
                          <a:off x="0" y="0"/>
                          <a:ext cx="4057650" cy="4057650"/>
                        </a:xfrm>
                        <a:prstGeom prst="rect">
                          <a:avLst/>
                        </a:prstGeom>
                      </pic:spPr>
                    </pic:pic>
                  </a:graphicData>
                </a:graphic>
              </wp:inline>
            </w:drawing>
          </mc:Choice>
          <mc:Fallback xmlns:wp14="http://schemas.microsoft.com/office/word/2010/wordml" xmlns:pic="http://schemas.openxmlformats.org/drawingml/2006/picture" xmlns:a="http://schemas.openxmlformats.org/drawingml/2006/main">
            <w:pict w14:anchorId="754C764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0" style="width:319.50pt;height:319.50pt;mso-wrap-distance-left:0.00pt;mso-wrap-distance-top:0.00pt;mso-wrap-distance-right:0.00pt;mso-wrap-distance-bottom:0.00pt;z-index:1;" o:spid="_x0000_s0" stroked="false" type="#_x0000_t75">
                <v:imagedata o:title="" r:id="rId16"/>
                <o:lock v:ext="edit" rotation="t"/>
              </v:shape>
            </w:pict>
          </mc:Fallback>
        </mc:AlternateContent>
      </w:r>
      <w:r w:rsidRPr="00F0158E">
        <w:rPr>
          <w:noProof/>
          <w:color w:val="000000" w:themeColor="text1"/>
        </w:rPr>
        <mc:AlternateContent>
          <mc:Choice Requires="wpg">
            <w:drawing>
              <wp:inline distT="0" distB="0" distL="0" distR="0" wp14:anchorId="30BB25CA" wp14:editId="07777777">
                <wp:extent cx="3238500" cy="4601273"/>
                <wp:effectExtent l="0" t="0" r="0" b="0"/>
                <wp:docPr id="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10756" name=""/>
                        <pic:cNvPicPr>
                          <a:picLocks noChangeAspect="1"/>
                        </pic:cNvPicPr>
                      </pic:nvPicPr>
                      <pic:blipFill rotWithShape="1">
                        <a:blip r:embed="rId17"/>
                        <a:stretch/>
                      </pic:blipFill>
                      <pic:spPr bwMode="auto">
                        <a:xfrm>
                          <a:off x="0" y="0"/>
                          <a:ext cx="3238500" cy="4601273"/>
                        </a:xfrm>
                        <a:prstGeom prst="rect">
                          <a:avLst/>
                        </a:prstGeom>
                      </pic:spPr>
                    </pic:pic>
                  </a:graphicData>
                </a:graphic>
              </wp:inline>
            </w:drawing>
          </mc:Choice>
          <mc:Fallback xmlns:wp14="http://schemas.microsoft.com/office/word/2010/wordml" xmlns:pic="http://schemas.openxmlformats.org/drawingml/2006/picture" xmlns:a="http://schemas.openxmlformats.org/drawingml/2006/main">
            <w:pict w14:anchorId="075C699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 style="width:255.00pt;height:362.30pt;mso-wrap-distance-left:0.00pt;mso-wrap-distance-top:0.00pt;mso-wrap-distance-right:0.00pt;mso-wrap-distance-bottom:0.00pt;z-index:1;" o:spid="_x0000_s1" stroked="false" type="#_x0000_t75">
                <v:imagedata o:title="" r:id="rId18"/>
                <o:lock v:ext="edit" rotation="t"/>
              </v:shape>
            </w:pict>
          </mc:Fallback>
        </mc:AlternateContent>
      </w:r>
    </w:p>
    <w:p w:rsidRPr="00F0158E" w:rsidR="002B48E1" w:rsidP="4306CD06" w:rsidRDefault="1EDECF99" w14:paraId="06C94146" w14:textId="77777777">
      <w:pPr>
        <w:pStyle w:val="Titre2"/>
        <w:rPr>
          <w:rFonts w:ascii="Aptos Display" w:hAnsi="Aptos Display" w:eastAsia="Aptos Display" w:cs="Aptos Display"/>
          <w:color w:val="auto"/>
          <w:sz w:val="30"/>
          <w:szCs w:val="30"/>
        </w:rPr>
      </w:pPr>
      <w:r w:rsidRPr="4306CD06" w:rsidR="1EDECF99">
        <w:rPr>
          <w:color w:val="auto"/>
          <w:sz w:val="30"/>
          <w:szCs w:val="30"/>
        </w:rPr>
        <w:t xml:space="preserve">Calendrier </w:t>
      </w:r>
    </w:p>
    <w:p w:rsidRPr="00F0158E" w:rsidR="002B48E1" w:rsidP="1EDECF99" w:rsidRDefault="1EDECF99" w14:paraId="38BE815B" w14:textId="77777777">
      <w:pPr>
        <w:rPr>
          <w:color w:val="000000" w:themeColor="text1"/>
        </w:rPr>
      </w:pPr>
      <w:r w:rsidRPr="00F0158E">
        <w:rPr>
          <w:color w:val="000000" w:themeColor="text1"/>
        </w:rPr>
        <w:t>2021 : début de la collaboration entre le SSE et l’association Ithaque</w:t>
      </w:r>
    </w:p>
    <w:p w:rsidRPr="00F0158E" w:rsidR="002B48E1" w:rsidP="1EDECF99" w:rsidRDefault="1EDECF99" w14:paraId="0E849A46" w14:textId="77777777">
      <w:pPr>
        <w:rPr>
          <w:color w:val="000000" w:themeColor="text1"/>
        </w:rPr>
      </w:pPr>
      <w:r w:rsidRPr="00F0158E">
        <w:rPr>
          <w:color w:val="000000" w:themeColor="text1"/>
        </w:rPr>
        <w:t>2023 : conventionnement avec l’ARS Grand-Est</w:t>
      </w:r>
    </w:p>
    <w:p w:rsidRPr="00F0158E" w:rsidR="002B48E1" w:rsidP="1EDECF99" w:rsidRDefault="1EDECF99" w14:paraId="7628D260" w14:textId="77777777">
      <w:pPr>
        <w:rPr>
          <w:color w:val="000000" w:themeColor="text1"/>
        </w:rPr>
      </w:pPr>
      <w:r w:rsidRPr="00F0158E">
        <w:rPr>
          <w:color w:val="000000" w:themeColor="text1"/>
        </w:rPr>
        <w:t>Septembre 2023 : recrutement des premiers ERA</w:t>
      </w:r>
    </w:p>
    <w:p w:rsidRPr="00F0158E" w:rsidR="002B48E1" w:rsidP="1EDECF99" w:rsidRDefault="1EDECF99" w14:paraId="15158EBE" w14:textId="77777777">
      <w:pPr>
        <w:rPr>
          <w:color w:val="000000" w:themeColor="text1"/>
        </w:rPr>
      </w:pPr>
      <w:r w:rsidRPr="00F0158E">
        <w:rPr>
          <w:color w:val="000000" w:themeColor="text1"/>
        </w:rPr>
        <w:t>Janvier 2024 : recrutement de nouveaux ERA</w:t>
      </w:r>
    </w:p>
    <w:p w:rsidRPr="00F0158E" w:rsidR="002B48E1" w:rsidP="1EDECF99" w:rsidRDefault="1EDECF99" w14:paraId="0C06D05A" w14:textId="77777777">
      <w:pPr>
        <w:rPr>
          <w:color w:val="000000" w:themeColor="text1"/>
        </w:rPr>
      </w:pPr>
      <w:r w:rsidRPr="00F0158E">
        <w:rPr>
          <w:color w:val="000000" w:themeColor="text1"/>
        </w:rPr>
        <w:t xml:space="preserve">Septembre 2024 : nouveaux recrutements </w:t>
      </w:r>
    </w:p>
    <w:p w:rsidRPr="00F0158E" w:rsidR="002B48E1" w:rsidP="1EDECF99" w:rsidRDefault="1EDECF99" w14:paraId="651034D2" w14:textId="77777777">
      <w:pPr>
        <w:rPr>
          <w:color w:val="000000" w:themeColor="text1"/>
        </w:rPr>
      </w:pPr>
      <w:r w:rsidRPr="00F0158E">
        <w:rPr>
          <w:color w:val="000000" w:themeColor="text1"/>
        </w:rPr>
        <w:t>Septembre 2025 : événements de rentrée assurés par des ERA déjà formés en contrat temporaire</w:t>
      </w:r>
    </w:p>
    <w:p w:rsidRPr="00F0158E" w:rsidR="002B48E1" w:rsidP="1EDECF99" w:rsidRDefault="1EDECF99" w14:paraId="4B40854C" w14:textId="77777777">
      <w:pPr>
        <w:rPr>
          <w:color w:val="000000" w:themeColor="text1"/>
        </w:rPr>
      </w:pPr>
      <w:r w:rsidRPr="00F0158E">
        <w:rPr>
          <w:color w:val="000000" w:themeColor="text1"/>
        </w:rPr>
        <w:t>Octobre 2025 : recrutement pour l’année 2025-2026</w:t>
      </w:r>
    </w:p>
    <w:p w:rsidRPr="00F0158E" w:rsidR="002B48E1" w:rsidP="1EDECF99" w:rsidRDefault="1EDECF99" w14:paraId="38A5D79A" w14:textId="77777777">
      <w:pPr>
        <w:rPr>
          <w:color w:val="000000" w:themeColor="text1"/>
        </w:rPr>
      </w:pPr>
      <w:r w:rsidRPr="00F0158E">
        <w:rPr>
          <w:color w:val="000000" w:themeColor="text1"/>
        </w:rPr>
        <w:t xml:space="preserve">31/12/2025 : fin de la convention actuelle avec l’ARS </w:t>
      </w:r>
    </w:p>
    <w:p w:rsidRPr="00F0158E" w:rsidR="002B48E1" w:rsidP="1EDECF99" w:rsidRDefault="1EDECF99" w14:paraId="219B252C" w14:textId="77777777">
      <w:pPr>
        <w:rPr>
          <w:color w:val="000000" w:themeColor="text1"/>
        </w:rPr>
      </w:pPr>
      <w:r w:rsidRPr="00F0158E">
        <w:rPr>
          <w:color w:val="000000" w:themeColor="text1"/>
        </w:rPr>
        <w:t>Fin 2025, contractualisation de la possibilité de poursuivre jusqu'en juin 2026 sur les fonds actuels du projet</w:t>
      </w:r>
    </w:p>
    <w:p w:rsidRPr="00F0158E" w:rsidR="002B48E1" w:rsidP="1EDECF99" w:rsidRDefault="1EDECF99" w14:paraId="51DB3D2A" w14:textId="77777777">
      <w:pPr>
        <w:pStyle w:val="Titre1"/>
        <w:rPr>
          <w:rFonts w:ascii="Aptos Display" w:hAnsi="Aptos Display" w:eastAsia="Aptos Display" w:cs="Aptos Display"/>
          <w:color w:val="000000" w:themeColor="text1"/>
        </w:rPr>
      </w:pPr>
      <w:r w:rsidRPr="00F0158E">
        <w:rPr>
          <w:rFonts w:ascii="Aptos Display" w:hAnsi="Aptos Display" w:eastAsia="Aptos Display" w:cs="Aptos Display"/>
          <w:color w:val="000000" w:themeColor="text1"/>
        </w:rPr>
        <w:lastRenderedPageBreak/>
        <w:t xml:space="preserve">Principaux enseignements </w:t>
      </w:r>
    </w:p>
    <w:p w:rsidRPr="00F0158E" w:rsidR="002B48E1" w:rsidP="4306CD06" w:rsidRDefault="1EDECF99" w14:paraId="22869DA5" w14:textId="77777777">
      <w:pPr>
        <w:pStyle w:val="Titre2"/>
        <w:rPr>
          <w:rFonts w:ascii="Aptos Display" w:hAnsi="Aptos Display" w:eastAsia="Aptos Display" w:cs="Aptos Display"/>
          <w:color w:val="000000" w:themeColor="text1"/>
          <w:sz w:val="30"/>
          <w:szCs w:val="30"/>
        </w:rPr>
      </w:pPr>
      <w:r w:rsidRPr="4306CD06" w:rsidR="1EDECF99">
        <w:rPr>
          <w:rFonts w:ascii="Aptos Display" w:hAnsi="Aptos Display" w:eastAsia="Aptos Display" w:cs="Aptos Display"/>
          <w:color w:val="000000" w:themeColor="text1" w:themeTint="FF" w:themeShade="FF"/>
          <w:sz w:val="30"/>
          <w:szCs w:val="30"/>
        </w:rPr>
        <w:t>Résultats observés</w:t>
      </w:r>
    </w:p>
    <w:p w:rsidRPr="00F0158E" w:rsidR="002B48E1" w:rsidP="1EDECF99" w:rsidRDefault="1EDECF99" w14:paraId="518C0B15" w14:textId="77777777">
      <w:pPr>
        <w:keepNext/>
        <w:keepLines/>
        <w:rPr>
          <w:color w:val="000000" w:themeColor="text1"/>
        </w:rPr>
      </w:pPr>
      <w:r w:rsidRPr="00F0158E">
        <w:rPr>
          <w:color w:val="000000" w:themeColor="text1"/>
        </w:rPr>
        <w:t xml:space="preserve">Le dispositif reste relativement récent, environ 3 ans sous cette forme. Il est donc difficile de mesurer son impact, avec les difficultés que l’on connaît à mesurer précisément l’impact spécifique d’une intervention en promotion de la santé. Pour autant, les outils à disposition comme les comptes-rendus, ou encore les rapports d’activité permettent de témoigner de la croissance du déploiement du dispositif. </w:t>
      </w:r>
    </w:p>
    <w:p w:rsidRPr="00F0158E" w:rsidR="002B48E1" w:rsidP="1EDECF99" w:rsidRDefault="1EDECF99" w14:paraId="33CA9EBE" w14:textId="29BBC090">
      <w:pPr>
        <w:keepNext/>
        <w:keepLines/>
        <w:rPr>
          <w:color w:val="000000" w:themeColor="text1"/>
        </w:rPr>
      </w:pPr>
      <w:r w:rsidRPr="00F0158E">
        <w:rPr>
          <w:color w:val="000000" w:themeColor="text1"/>
        </w:rPr>
        <w:t xml:space="preserve">De plus, la pérennisation de certains partenariats comme ceux avec les associations étudiantes montre la fidélisation de ces publics, qui ont une position clé, notamment dans l’organisation d’évènements festifs.  Les associations et établissements sont toujours plus nombreux à contacter l’équipe du projet afin d’organiser des temps de sensibilisation ou </w:t>
      </w:r>
      <w:r w:rsidRPr="00F0158E" w:rsidR="0245C21F">
        <w:rPr>
          <w:color w:val="000000" w:themeColor="text1"/>
        </w:rPr>
        <w:t>d’</w:t>
      </w:r>
      <w:r w:rsidRPr="00F0158E">
        <w:rPr>
          <w:color w:val="000000" w:themeColor="text1"/>
        </w:rPr>
        <w:t xml:space="preserve">installer des bornes de </w:t>
      </w:r>
      <w:proofErr w:type="spellStart"/>
      <w:r w:rsidRPr="00F0158E">
        <w:rPr>
          <w:color w:val="000000" w:themeColor="text1"/>
        </w:rPr>
        <w:t>RdR</w:t>
      </w:r>
      <w:proofErr w:type="spellEnd"/>
      <w:r w:rsidRPr="00F0158E">
        <w:rPr>
          <w:color w:val="000000" w:themeColor="text1"/>
        </w:rPr>
        <w:t xml:space="preserve">. Par exemple, des organisations hors du territoire d’action ont sollicité l’équipe du projet pour des temps de sensibilisation. Ce développement s’observe également dans la connaissance qu’ont les étudiants du dispositif. </w:t>
      </w:r>
    </w:p>
    <w:p w:rsidRPr="00F0158E" w:rsidR="002B48E1" w:rsidP="1EDECF99" w:rsidRDefault="1EDECF99" w14:paraId="69B5D9E7" w14:textId="77777777">
      <w:pPr>
        <w:keepNext/>
        <w:keepLines/>
        <w:rPr>
          <w:color w:val="000000" w:themeColor="text1"/>
        </w:rPr>
      </w:pPr>
      <w:r w:rsidRPr="00F0158E">
        <w:rPr>
          <w:color w:val="000000" w:themeColor="text1"/>
        </w:rPr>
        <w:t xml:space="preserve">Selon le rapport d’activité intermédiaire, sur l’année 2024, les ERA ont échangé avec 2510 personnes, dont 1251 personnes en soirées festives étudiantes et 1259 personnes en action de sensibilisation. Ce nombre d’échanges est en augmentation par rapport à l’année 2023 (+400). </w:t>
      </w:r>
    </w:p>
    <w:p w:rsidRPr="00F0158E" w:rsidR="002B48E1" w:rsidP="4306CD06" w:rsidRDefault="1EDECF99" w14:paraId="2DD0C789" w14:textId="77777777">
      <w:pPr>
        <w:pStyle w:val="Titre2"/>
        <w:rPr>
          <w:rFonts w:ascii="Aptos Display" w:hAnsi="Aptos Display" w:eastAsia="Aptos Display" w:cs="Aptos Display"/>
          <w:color w:val="000000" w:themeColor="text1"/>
          <w:sz w:val="30"/>
          <w:szCs w:val="30"/>
        </w:rPr>
      </w:pPr>
      <w:r w:rsidRPr="4306CD06" w:rsidR="1EDECF99">
        <w:rPr>
          <w:rFonts w:ascii="Aptos Display" w:hAnsi="Aptos Display" w:eastAsia="Aptos Display" w:cs="Aptos Display"/>
          <w:color w:val="000000" w:themeColor="text1" w:themeTint="FF" w:themeShade="FF"/>
          <w:sz w:val="30"/>
          <w:szCs w:val="30"/>
        </w:rPr>
        <w:t xml:space="preserve">Freins et leviers </w:t>
      </w:r>
    </w:p>
    <w:p w:rsidRPr="00F0158E" w:rsidR="002B48E1" w:rsidP="1EDECF99" w:rsidRDefault="1EDECF99" w14:paraId="66DA4596" w14:textId="77777777">
      <w:pPr>
        <w:pStyle w:val="Titre3"/>
        <w:rPr>
          <w:rFonts w:ascii="Aptos" w:hAnsi="Aptos" w:eastAsia="Aptos" w:cs="Aptos"/>
          <w:color w:val="000000" w:themeColor="text1"/>
        </w:rPr>
      </w:pPr>
      <w:r w:rsidRPr="00F0158E">
        <w:rPr>
          <w:rFonts w:ascii="Aptos" w:hAnsi="Aptos" w:eastAsia="Aptos" w:cs="Aptos"/>
          <w:color w:val="000000" w:themeColor="text1"/>
        </w:rPr>
        <w:t>Freins :</w:t>
      </w:r>
    </w:p>
    <w:p w:rsidRPr="00F0158E" w:rsidR="002B48E1" w:rsidP="1EDECF99" w:rsidRDefault="1EDECF99" w14:paraId="2FF50A0B" w14:textId="77777777">
      <w:pPr>
        <w:keepNext/>
        <w:keepLines/>
        <w:rPr>
          <w:color w:val="000000" w:themeColor="text1"/>
        </w:rPr>
      </w:pPr>
      <w:r w:rsidRPr="00F0158E">
        <w:rPr>
          <w:color w:val="000000" w:themeColor="text1"/>
        </w:rPr>
        <w:t xml:space="preserve">L’approche de Réduction des Risques portée et incarnée par l’association Ithaque n’est pas encore acceptée et comprise par toutes et tous, notamment dans les environnements plus institutionnels. Ainsi, des personnels ont pu s’étonner de la distribution de matériel de Réduction des Risques comme les “Roule Ta Paille”, assimilant la délivrance de ce matériel à une incitation à la consommation. On peut voir que certaines organisations sont marquées par une autre manière de traiter l’addictologie, en cherchant à atteindre le sevrage complet des personnes. </w:t>
      </w:r>
    </w:p>
    <w:p w:rsidRPr="00F0158E" w:rsidR="002B48E1" w:rsidP="1EDECF99" w:rsidRDefault="1EDECF99" w14:paraId="574AE2CF" w14:textId="77777777">
      <w:pPr>
        <w:keepNext/>
        <w:keepLines/>
        <w:rPr>
          <w:color w:val="000000" w:themeColor="text1"/>
        </w:rPr>
      </w:pPr>
      <w:r w:rsidRPr="00F0158E">
        <w:rPr>
          <w:color w:val="000000" w:themeColor="text1"/>
        </w:rPr>
        <w:lastRenderedPageBreak/>
        <w:t xml:space="preserve">On peut également identifier un levier d’amélioration sur la communication et la manière dont le public se saisit des initiatives du dispositif. Ainsi, un événement santé sexuelle sur le campus avait été prévu avec différents intervenants comme le planning familial et des sexothérapeutes. Malheureusement, la communication n’avait pas atteint les étudiants, notamment du fait d’une absence de communication par le campus concerné, et ces derniers ont largement préféré se rendre à un autre événement, organisé en face de l’action </w:t>
      </w:r>
      <w:proofErr w:type="spellStart"/>
      <w:r w:rsidRPr="00F0158E">
        <w:rPr>
          <w:color w:val="000000" w:themeColor="text1"/>
        </w:rPr>
        <w:t>sexo</w:t>
      </w:r>
      <w:proofErr w:type="spellEnd"/>
      <w:r w:rsidRPr="00F0158E">
        <w:rPr>
          <w:color w:val="000000" w:themeColor="text1"/>
        </w:rPr>
        <w:t xml:space="preserve">, et proposant notamment des bières à faible coût. Il s’agit ici de quelque chose “qu’on ne peut pas concurrencer”, estime Hélène Beaucolin. </w:t>
      </w:r>
    </w:p>
    <w:p w:rsidRPr="00F0158E" w:rsidR="002B48E1" w:rsidP="1EDECF99" w:rsidRDefault="1EDECF99" w14:paraId="798C36F9" w14:textId="77777777">
      <w:pPr>
        <w:pStyle w:val="Citationintense"/>
        <w:rPr>
          <w:color w:val="000000" w:themeColor="text1"/>
        </w:rPr>
      </w:pPr>
      <w:r w:rsidRPr="00F0158E">
        <w:rPr>
          <w:color w:val="000000" w:themeColor="text1"/>
        </w:rPr>
        <w:t xml:space="preserve">J'en garde un souvenir un peu mi-figue, mi-raisin, mais il y avait quand même des choses intéressantes qui en sont ressorties en termes de limites, </w:t>
      </w:r>
      <w:proofErr w:type="gramStart"/>
      <w:r w:rsidRPr="00F0158E">
        <w:rPr>
          <w:color w:val="000000" w:themeColor="text1"/>
        </w:rPr>
        <w:t>comme par exemple</w:t>
      </w:r>
      <w:proofErr w:type="gramEnd"/>
      <w:r w:rsidRPr="00F0158E">
        <w:rPr>
          <w:color w:val="000000" w:themeColor="text1"/>
        </w:rPr>
        <w:t xml:space="preserve"> de ne pas compter que sur la communication institutionnelle. </w:t>
      </w:r>
    </w:p>
    <w:p w:rsidRPr="00F0158E" w:rsidR="002B48E1" w:rsidP="1EDECF99" w:rsidRDefault="1EDECF99" w14:paraId="02FA7D56" w14:textId="47D023FA">
      <w:pPr>
        <w:pStyle w:val="Citationintense"/>
        <w:rPr>
          <w:color w:val="000000" w:themeColor="text1"/>
        </w:rPr>
      </w:pPr>
      <w:r w:rsidRPr="00F0158E">
        <w:rPr>
          <w:color w:val="000000" w:themeColor="text1"/>
        </w:rPr>
        <w:t>Hélène Beaucolin</w:t>
      </w:r>
      <w:r w:rsidRPr="00F0158E" w:rsidR="7F7E60CE">
        <w:rPr>
          <w:color w:val="000000" w:themeColor="text1"/>
        </w:rPr>
        <w:t>, Chargée de projet SSE x Ithaque</w:t>
      </w:r>
      <w:r w:rsidRPr="00F0158E">
        <w:rPr>
          <w:color w:val="000000" w:themeColor="text1"/>
        </w:rPr>
        <w:t xml:space="preserve"> </w:t>
      </w:r>
    </w:p>
    <w:p w:rsidRPr="00F0158E" w:rsidR="002B48E1" w:rsidP="1EDECF99" w:rsidRDefault="1EDECF99" w14:paraId="1CB2805F" w14:textId="77777777">
      <w:pPr>
        <w:rPr>
          <w:rFonts w:ascii="Aptos" w:hAnsi="Aptos" w:eastAsia="Aptos" w:cs="Aptos"/>
          <w:color w:val="000000" w:themeColor="text1"/>
          <w:sz w:val="28"/>
          <w:szCs w:val="28"/>
        </w:rPr>
      </w:pPr>
      <w:r w:rsidRPr="00F0158E">
        <w:rPr>
          <w:color w:val="000000" w:themeColor="text1"/>
        </w:rPr>
        <w:t xml:space="preserve">De plus, certains comportements semblent difficiles à faire évoluer, avec des cultures de cursus extrêmement fortes, et favorisant la consommation de substances, notamment d’alcool, malheureusement régulièrement en lien avec des situations de sexisme ordinaire et/ou de violences sexistes et sexuelles (VSS). Ces opinions sont d’autant plus difficiles à faire évoluer quand elles sont soutenues voire portées par des membres des administrations ou du corps professoral. La consommation d’alcool est ainsi largement normalisée, avec par exemple des lieux servant de l’alcool à toute heure de la journée sur les campus, à des prix attractifs pour des étudiants mais aussi les personnels, malgré des efforts de réglementation à ce sujet. </w:t>
      </w:r>
    </w:p>
    <w:p w:rsidRPr="00F0158E" w:rsidR="002B48E1" w:rsidP="28F76620" w:rsidRDefault="1EDECF99" w14:paraId="4F29F2FD" w14:textId="77777777">
      <w:pPr>
        <w:pStyle w:val="Titre3"/>
        <w:keepNext w:val="1"/>
        <w:keepLines w:val="1"/>
        <w:rPr>
          <w:rFonts w:ascii="Aptos" w:hAnsi="Aptos" w:eastAsia="Aptos" w:cs="Aptos"/>
          <w:color w:val="000000" w:themeColor="text1" w:themeTint="FF" w:themeShade="FF"/>
          <w:sz w:val="28"/>
          <w:szCs w:val="28"/>
        </w:rPr>
      </w:pPr>
      <w:r w:rsidRPr="28F76620" w:rsidR="1EDECF99">
        <w:rPr>
          <w:color w:val="auto"/>
        </w:rPr>
        <w:t>Leviers</w:t>
      </w:r>
      <w:r w:rsidR="1EDECF99">
        <w:rPr/>
        <w:t xml:space="preserve"> : </w:t>
      </w:r>
    </w:p>
    <w:p w:rsidRPr="00F0158E" w:rsidR="002B48E1" w:rsidP="1EDECF99" w:rsidRDefault="1EDECF99" w14:paraId="1846C855" w14:textId="77777777">
      <w:pPr>
        <w:keepNext/>
        <w:keepLines/>
        <w:rPr>
          <w:color w:val="000000" w:themeColor="text1"/>
        </w:rPr>
      </w:pPr>
      <w:r w:rsidRPr="00F0158E">
        <w:rPr>
          <w:color w:val="000000" w:themeColor="text1"/>
        </w:rPr>
        <w:t>L’un des objectifs affichés et atteints du projet consiste en la montée en compétences des ERA, par exemple en tendant vers l’autonomie sur la tenue des stands en milieu festif. Les ERA sont formés, déjà via le SSE à l’instar des autres ER de l’</w:t>
      </w:r>
      <w:proofErr w:type="spellStart"/>
      <w:r w:rsidRPr="00F0158E">
        <w:rPr>
          <w:color w:val="000000" w:themeColor="text1"/>
        </w:rPr>
        <w:t>UniStra</w:t>
      </w:r>
      <w:proofErr w:type="spellEnd"/>
      <w:r w:rsidRPr="00F0158E">
        <w:rPr>
          <w:color w:val="000000" w:themeColor="text1"/>
        </w:rPr>
        <w:t xml:space="preserve">, mais également en interne via Ithaque. Les formations avec les SSE sont celles des gestes qui sauvent ainsi que les Premiers Secours en Santé Mentale (PSSM). En tant qu’ERA, Ithaque leur fournit en plus une formation sur l’addictologie, les risques festifs, la santé sexuelle, le tabac et l’alcool. De plus, un temps spécifique est fait sur la manière dont les ERA peuvent mener des temps de sensibilisation et donc la posture qui y est associée. </w:t>
      </w:r>
    </w:p>
    <w:p w:rsidRPr="00F0158E" w:rsidR="002B48E1" w:rsidP="1EDECF99" w:rsidRDefault="1EDECF99" w14:paraId="285BAE17" w14:textId="77777777">
      <w:pPr>
        <w:keepNext/>
        <w:keepLines/>
        <w:rPr>
          <w:color w:val="000000" w:themeColor="text1"/>
        </w:rPr>
      </w:pPr>
      <w:r w:rsidRPr="00F0158E">
        <w:rPr>
          <w:color w:val="000000" w:themeColor="text1"/>
        </w:rPr>
        <w:t xml:space="preserve">On peut en outre voir que le fait d’être ERA est généralement apprécié par les étudiants, qui sont plusieurs à renouveler leur engagement au fil des années, comme Seif-Eddine, qui devrait entamer sa 4ème année à la rentrée 2025. En effet, s’il a initialement candidaté pour le poste d’ERA pour des raisons financières, en cherchant un contrat étudiant, il a été “emballé” par l’approche portée par l’association Ithaque, et est resté dans le dispositif du fait de l’attrait qu’il a découvert pour l’addictologie. Cette reconduction d’anciens ERA volontaires permet en outre de faciliter l’intégration des nouveaux ERA à la rentrée universitaire, qui compte dès septembre de nombreux événements où la présence de l’équipe est pertinente. L’un des signes positifs autour du dispositif est l’attractivité du contrat d’ERA. En effet, pour 7 postes au total chaque année, l’équipe reçoit de nombreuses candidatures, jusqu’à 87 l’année dernière. </w:t>
      </w:r>
      <w:proofErr w:type="spellStart"/>
      <w:r w:rsidRPr="00F0158E">
        <w:rPr>
          <w:color w:val="000000" w:themeColor="text1"/>
        </w:rPr>
        <w:t>Seif-Edine</w:t>
      </w:r>
      <w:proofErr w:type="spellEnd"/>
      <w:r w:rsidRPr="00F0158E">
        <w:rPr>
          <w:color w:val="000000" w:themeColor="text1"/>
        </w:rPr>
        <w:t xml:space="preserve"> souligne par exemple la reconnaissance qui émane de son statut d’ERA. Pour lui, participer au projet lui permet de se sentir utile à la communauté étudiante. Il a ainsi pu conseiller à une de ses amies de le rejoindre comme ERA et estime que ce dispositif pourrait être utile partout en France. </w:t>
      </w:r>
    </w:p>
    <w:p w:rsidRPr="00F0158E" w:rsidR="002B48E1" w:rsidP="1EDECF99" w:rsidRDefault="1EDECF99" w14:paraId="7F99DAA8" w14:textId="77777777">
      <w:pPr>
        <w:pStyle w:val="Citationintense"/>
        <w:keepNext/>
        <w:keepLines/>
        <w:rPr>
          <w:color w:val="000000" w:themeColor="text1"/>
        </w:rPr>
      </w:pPr>
      <w:r w:rsidRPr="00F0158E">
        <w:rPr>
          <w:color w:val="000000" w:themeColor="text1"/>
        </w:rPr>
        <w:t xml:space="preserve">J'aimerais bien que ce soit quelque chose qui existe plus, </w:t>
      </w:r>
      <w:r w:rsidRPr="00F0158E" w:rsidR="00AB09EC">
        <w:rPr>
          <w:color w:val="000000" w:themeColor="text1"/>
        </w:rPr>
        <w:br/>
      </w:r>
      <w:r w:rsidRPr="00F0158E">
        <w:rPr>
          <w:color w:val="000000" w:themeColor="text1"/>
        </w:rPr>
        <w:t xml:space="preserve"> j'aimerais bien que ce soit quelque chose qui soit vraiment national, toujours dans cette approche, qui est une collaboration avec l'équipe, avec une association locale de réduction des risques. </w:t>
      </w:r>
    </w:p>
    <w:p w:rsidRPr="00F0158E" w:rsidR="002B48E1" w:rsidP="1EDECF99" w:rsidRDefault="1EDECF99" w14:paraId="7BE9F483" w14:textId="77777777">
      <w:pPr>
        <w:pStyle w:val="Citationintense"/>
        <w:keepNext/>
        <w:keepLines/>
        <w:rPr>
          <w:color w:val="000000" w:themeColor="text1"/>
        </w:rPr>
      </w:pPr>
      <w:r w:rsidRPr="00F0158E">
        <w:rPr>
          <w:color w:val="000000" w:themeColor="text1"/>
        </w:rPr>
        <w:t>Seif-Eddine, ERA</w:t>
      </w:r>
      <w:r w:rsidRPr="00F0158E" w:rsidR="00AB09EC">
        <w:rPr>
          <w:color w:val="000000" w:themeColor="text1"/>
        </w:rPr>
        <w:br/>
      </w:r>
    </w:p>
    <w:p w:rsidRPr="00F0158E" w:rsidR="002B48E1" w:rsidP="1EDECF99" w:rsidRDefault="002B48E1" w14:paraId="5A39BBE3" w14:textId="77777777">
      <w:pPr>
        <w:keepNext/>
        <w:keepLines/>
        <w:rPr>
          <w:color w:val="000000" w:themeColor="text1"/>
        </w:rPr>
      </w:pPr>
    </w:p>
    <w:p w:rsidRPr="00F0158E" w:rsidR="002B48E1" w:rsidP="5F6A31E1" w:rsidRDefault="1EDECF99" w14:paraId="312D1EF5" w14:textId="7F5B2C7E">
      <w:pPr>
        <w:keepNext/>
        <w:keepLines/>
        <w:rPr>
          <w:rFonts w:ascii="Aptos" w:hAnsi="Aptos" w:eastAsia="Aptos" w:cs="Aptos"/>
          <w:color w:val="000000" w:themeColor="text1"/>
        </w:rPr>
      </w:pPr>
      <w:r w:rsidRPr="00F0158E">
        <w:rPr>
          <w:color w:val="000000" w:themeColor="text1"/>
        </w:rPr>
        <w:lastRenderedPageBreak/>
        <w:t>L’évaluation</w:t>
      </w:r>
      <w:r w:rsidRPr="00F0158E" w:rsidR="5CD2D09B">
        <w:rPr>
          <w:color w:val="000000" w:themeColor="text1"/>
        </w:rPr>
        <w:t>,</w:t>
      </w:r>
      <w:r w:rsidRPr="00F0158E">
        <w:rPr>
          <w:color w:val="000000" w:themeColor="text1"/>
        </w:rPr>
        <w:t xml:space="preserve"> et le suivi au fil de l’eau du projet</w:t>
      </w:r>
      <w:r w:rsidRPr="00F0158E" w:rsidR="40CC25CA">
        <w:rPr>
          <w:color w:val="000000" w:themeColor="text1"/>
        </w:rPr>
        <w:t>,</w:t>
      </w:r>
      <w:r w:rsidRPr="00F0158E">
        <w:rPr>
          <w:color w:val="000000" w:themeColor="text1"/>
        </w:rPr>
        <w:t xml:space="preserve"> est également un atout, car </w:t>
      </w:r>
      <w:r w:rsidRPr="00F0158E" w:rsidR="21AB8AAC">
        <w:rPr>
          <w:color w:val="000000" w:themeColor="text1"/>
        </w:rPr>
        <w:t>elle</w:t>
      </w:r>
      <w:r w:rsidRPr="00F0158E">
        <w:rPr>
          <w:color w:val="000000" w:themeColor="text1"/>
        </w:rPr>
        <w:t xml:space="preserve"> permet d’identifier les marges de progression et de réajuster si besoin. Cela permet également d’avoir une vision claire de ce qui est réalisé et investi pour chaque partie du projet. Par exemple, un suivi extensif de chaque borne est mené, ce qui permet de voir quel matériel est plébiscité en fonction des lieux, ainsi que de voir quelles bornes sont les plus usitées. </w:t>
      </w:r>
    </w:p>
    <w:p w:rsidRPr="00F0158E" w:rsidR="002B48E1" w:rsidP="4306CD06" w:rsidRDefault="1EDECF99" w14:paraId="21B708D6" w14:textId="77777777">
      <w:pPr>
        <w:pStyle w:val="Titre2"/>
        <w:keepNext w:val="1"/>
        <w:keepLines w:val="1"/>
        <w:rPr>
          <w:rFonts w:ascii="Aptos" w:hAnsi="Aptos" w:eastAsia="Aptos" w:cs="Aptos"/>
          <w:color w:val="auto"/>
          <w:sz w:val="30"/>
          <w:szCs w:val="30"/>
        </w:rPr>
      </w:pPr>
      <w:r w:rsidRPr="4306CD06" w:rsidR="1EDECF99">
        <w:rPr>
          <w:color w:val="auto"/>
          <w:sz w:val="30"/>
          <w:szCs w:val="30"/>
        </w:rPr>
        <w:t xml:space="preserve">Compétences et profils professionnels : </w:t>
      </w:r>
      <w:r w:rsidRPr="4306CD06" w:rsidR="1EDECF99">
        <w:rPr>
          <w:color w:val="auto"/>
          <w:sz w:val="30"/>
          <w:szCs w:val="30"/>
        </w:rPr>
        <w:t xml:space="preserve"> </w:t>
      </w:r>
    </w:p>
    <w:p w:rsidRPr="00F0158E" w:rsidR="002B48E1" w:rsidP="1EDECF99" w:rsidRDefault="1EDECF99" w14:paraId="1E584B78" w14:textId="71B20EC9">
      <w:pPr>
        <w:keepNext/>
        <w:keepLines/>
        <w:rPr>
          <w:color w:val="000000" w:themeColor="text1"/>
        </w:rPr>
      </w:pPr>
      <w:r w:rsidRPr="00F0158E">
        <w:rPr>
          <w:color w:val="000000" w:themeColor="text1"/>
        </w:rPr>
        <w:t xml:space="preserve">La chargée de projets, Hélène Beaucolin, possédait préalablement des compétences de gestion de projet, de déploiement de projet et une appétence pour la formation et la transmission des savoirs. Cette expérience professionnelle </w:t>
      </w:r>
      <w:r w:rsidRPr="00F0158E" w:rsidR="064E9189">
        <w:rPr>
          <w:color w:val="000000" w:themeColor="text1"/>
        </w:rPr>
        <w:t xml:space="preserve">préalable </w:t>
      </w:r>
      <w:r w:rsidRPr="00F0158E">
        <w:rPr>
          <w:color w:val="000000" w:themeColor="text1"/>
        </w:rPr>
        <w:t>lui a permis de mettre en place des outils de suivi et d’évaluation du dispositif. Ainsi, l’équipe peut se baser sur des fiches de suivi du matériel utilisé, de compte-rendu d’actions...</w:t>
      </w:r>
    </w:p>
    <w:p w:rsidRPr="00F0158E" w:rsidR="002B48E1" w:rsidP="1EDECF99" w:rsidRDefault="1EDECF99" w14:paraId="628A4799" w14:textId="77777777">
      <w:pPr>
        <w:keepNext/>
        <w:keepLines/>
        <w:rPr>
          <w:color w:val="000000" w:themeColor="text1"/>
        </w:rPr>
      </w:pPr>
      <w:r w:rsidRPr="00F0158E">
        <w:rPr>
          <w:color w:val="000000" w:themeColor="text1"/>
        </w:rPr>
        <w:t xml:space="preserve">Les compétences de gestion d’équipe sont primordiales, le projet reposant en effet sur l’équipe des ERA. Il est donc important de souligner le lien de confiance créé avec les ERA. Fanny Labeth est ainsi décrite comme une personne douce et bienveillante, force de proposition pour que les ERA se sentent en confiance pour exprimer leur point de vue et les soutenir dans leurs initiatives. </w:t>
      </w:r>
    </w:p>
    <w:p w:rsidRPr="00F0158E" w:rsidR="002B48E1" w:rsidP="1EDECF99" w:rsidRDefault="1EDECF99" w14:paraId="46B1BC5C" w14:textId="77777777">
      <w:pPr>
        <w:keepNext/>
        <w:keepLines/>
        <w:rPr>
          <w:color w:val="000000" w:themeColor="text1"/>
        </w:rPr>
      </w:pPr>
      <w:r w:rsidRPr="00F0158E">
        <w:rPr>
          <w:color w:val="000000" w:themeColor="text1"/>
        </w:rPr>
        <w:t xml:space="preserve">La stratégie de communication évoquée précédemment impose de maîtriser certaines compétences de communication. En effet, les spécificités du public, jeune et étudiant, doivent être prises en compte dans la communication, qu’elle soit physique (campagne d’affichage ou de tractage) ou digitale (réseaux sociaux). Cette communication doit en outre tomber juste pour les étudiants, demandant donc un travail de veille. Celle-ci doit être menée sur les ressources et sur les problématiques qui peuvent être observées chez les étudiants, soit par les ERA soit par l’équipe salariée. Le public étudiant est exigeant et demande des connaissances précises sur leurs besoins, loin d’un discours moralisateur ou éloigné de leurs pratiques. Ainsi, Hélène Beaucolin estime nécessaire de se tenir informée des besoins réels. Cela est selon elle facilité par une différence en âge encore relativement acceptable mais qui doit être prise en compte. Pour elle, il faut donc une posture spécifique pour travailler sur ces milieux, en particulier dans les milieux festifs. Ces derniers, notamment ceux fréquentés par les étudiants demandent des intervenants de respecter les codes et usages des participants, et il est facile de “tomber à côté”. </w:t>
      </w:r>
    </w:p>
    <w:p w:rsidRPr="00F0158E" w:rsidR="002B48E1" w:rsidP="1EDECF99" w:rsidRDefault="1EDECF99" w14:paraId="5726D4CE" w14:textId="77777777">
      <w:pPr>
        <w:pStyle w:val="Citationintense"/>
        <w:rPr>
          <w:color w:val="000000" w:themeColor="text1"/>
        </w:rPr>
      </w:pPr>
      <w:r w:rsidRPr="00F0158E">
        <w:rPr>
          <w:color w:val="000000" w:themeColor="text1"/>
        </w:rPr>
        <w:t>Il faut accompagner la fête !</w:t>
      </w:r>
    </w:p>
    <w:p w:rsidRPr="00F0158E" w:rsidR="002B48E1" w:rsidP="1EDECF99" w:rsidRDefault="1EDECF99" w14:paraId="1D8B9ADE" w14:textId="77777777">
      <w:pPr>
        <w:pStyle w:val="Citationintense"/>
        <w:rPr>
          <w:color w:val="000000" w:themeColor="text1"/>
        </w:rPr>
      </w:pPr>
      <w:r w:rsidRPr="00F0158E">
        <w:rPr>
          <w:color w:val="000000" w:themeColor="text1"/>
        </w:rPr>
        <w:t>Hélène Beaucolin</w:t>
      </w:r>
    </w:p>
    <w:p w:rsidRPr="00F0158E" w:rsidR="002B48E1" w:rsidP="1EDECF99" w:rsidRDefault="1EDECF99" w14:paraId="4E38CC99" w14:textId="77777777">
      <w:pPr>
        <w:keepNext/>
        <w:keepLines/>
        <w:spacing w:before="160" w:after="80"/>
        <w:rPr>
          <w:color w:val="000000" w:themeColor="text1"/>
        </w:rPr>
      </w:pPr>
      <w:r w:rsidRPr="00F0158E">
        <w:rPr>
          <w:color w:val="000000" w:themeColor="text1"/>
        </w:rPr>
        <w:lastRenderedPageBreak/>
        <w:t xml:space="preserve">Pour les ERA, une sensibilité aux thématiques d’addictologie, de santé sexuelle et de santé mentale est primordiale, ainsi qu’une appétence pour l’approche de Réduction des Risques qui est portée par le dispositif. Pour autant, il est possible de développer cette appétence et des compétences sans se sentir initialement concerné par la thématique, comme le souligne Seif-Eddine, qui a postulé à l’origine en recherche d’un contrat étudiant. </w:t>
      </w:r>
    </w:p>
    <w:p w:rsidRPr="00F0158E" w:rsidR="002B48E1" w:rsidP="28F76620" w:rsidRDefault="1EDECF99" w14:paraId="757478E7" w14:textId="77777777">
      <w:pPr>
        <w:pStyle w:val="Titre2"/>
        <w:keepNext w:val="1"/>
        <w:keepLines w:val="1"/>
        <w:rPr>
          <w:rFonts w:ascii="Aptos" w:hAnsi="Aptos" w:eastAsia="Aptos" w:cs="Aptos"/>
          <w:color w:val="auto"/>
        </w:rPr>
      </w:pPr>
      <w:r w:rsidRPr="4306CD06" w:rsidR="1EDECF99">
        <w:rPr>
          <w:color w:val="auto"/>
          <w:sz w:val="30"/>
          <w:szCs w:val="30"/>
        </w:rPr>
        <w:t>Perspectives </w:t>
      </w:r>
      <w:r w:rsidRPr="4306CD06" w:rsidR="1EDECF99">
        <w:rPr>
          <w:color w:val="auto"/>
        </w:rPr>
        <w:t xml:space="preserve">: </w:t>
      </w:r>
      <w:r w:rsidRPr="4306CD06" w:rsidR="1EDECF99">
        <w:rPr>
          <w:color w:val="auto"/>
        </w:rPr>
        <w:t xml:space="preserve"> </w:t>
      </w:r>
    </w:p>
    <w:p w:rsidRPr="00F0158E" w:rsidR="002B48E1" w:rsidP="1EDECF99" w:rsidRDefault="1EDECF99" w14:paraId="3FB4DCAA" w14:textId="77777777">
      <w:pPr>
        <w:keepNext/>
        <w:keepLines/>
        <w:rPr>
          <w:color w:val="000000" w:themeColor="text1"/>
        </w:rPr>
      </w:pPr>
      <w:r w:rsidRPr="00F0158E">
        <w:rPr>
          <w:color w:val="000000" w:themeColor="text1"/>
        </w:rPr>
        <w:t xml:space="preserve">La convention qui lie le SSE et l’association Ithaque à l’ARS Grand-Est touche à sa fin au terme de l’année 2025. A l’heure actuelle, les perspectives du projet ne sont pas encore certaines, que ce soit sur le renouvellement du financement du projet ou sur les acteurs impliqués. Ithaque souhaiterait poursuivre le projet, par exemple en touchant de nouveaux lieux, pas nécessairement identifiés comme étudiants, comme les lieux rassemblant des personnes en précarité, les tiers-lieux, les lieux communautaires comme les soirées queer... </w:t>
      </w:r>
    </w:p>
    <w:p w:rsidRPr="00F0158E" w:rsidR="002B48E1" w:rsidP="1EDECF99" w:rsidRDefault="1EDECF99" w14:paraId="6E272389" w14:textId="458FEEA9">
      <w:pPr>
        <w:keepNext/>
        <w:keepLines/>
        <w:rPr>
          <w:color w:val="000000" w:themeColor="text1"/>
        </w:rPr>
      </w:pPr>
      <w:r w:rsidRPr="00F0158E">
        <w:rPr>
          <w:color w:val="000000" w:themeColor="text1"/>
        </w:rPr>
        <w:t>L’association Ithaque, comme l’ERA rencontré</w:t>
      </w:r>
      <w:r w:rsidRPr="00F0158E" w:rsidR="3D9B694A">
        <w:rPr>
          <w:color w:val="000000" w:themeColor="text1"/>
        </w:rPr>
        <w:t>,</w:t>
      </w:r>
      <w:r w:rsidRPr="00F0158E">
        <w:rPr>
          <w:color w:val="000000" w:themeColor="text1"/>
        </w:rPr>
        <w:t xml:space="preserve"> souhaite poursuivre sur ce projet, dont le développement est source de réjouissances. </w:t>
      </w:r>
    </w:p>
    <w:p w:rsidRPr="00F0158E" w:rsidR="002B48E1" w:rsidP="1EDECF99" w:rsidRDefault="002B48E1" w14:paraId="41C8F396" w14:textId="77777777">
      <w:pPr>
        <w:rPr>
          <w:rFonts w:ascii="Aptos" w:hAnsi="Aptos" w:eastAsia="Aptos" w:cs="Aptos"/>
          <w:color w:val="000000" w:themeColor="text1"/>
        </w:rPr>
      </w:pPr>
    </w:p>
    <w:p w:rsidRPr="00F0158E" w:rsidR="002B48E1" w:rsidP="1EDECF99" w:rsidRDefault="00AB09EC" w14:paraId="72A3D3EC" w14:textId="77777777">
      <w:pPr>
        <w:rPr>
          <w:color w:val="000000" w:themeColor="text1"/>
        </w:rPr>
      </w:pPr>
      <w:r w:rsidRPr="00F0158E">
        <w:rPr>
          <w:color w:val="000000" w:themeColor="text1"/>
        </w:rPr>
        <w:br w:type="page" w:clear="all"/>
      </w:r>
    </w:p>
    <w:p w:rsidRPr="00F0158E" w:rsidR="002B48E1" w:rsidP="4306CD06" w:rsidRDefault="1EDECF99" w14:paraId="208BE16C" w14:textId="77777777">
      <w:pPr>
        <w:pStyle w:val="Titre2"/>
        <w:rPr>
          <w:rFonts w:ascii="Aptos Display" w:hAnsi="Aptos Display" w:eastAsia="Aptos Display" w:cs="Aptos Display"/>
          <w:color w:val="000000" w:themeColor="text1"/>
          <w:sz w:val="30"/>
          <w:szCs w:val="30"/>
        </w:rPr>
      </w:pPr>
      <w:r w:rsidRPr="4306CD06" w:rsidR="1EDECF99">
        <w:rPr>
          <w:rFonts w:ascii="Aptos Display" w:hAnsi="Aptos Display" w:eastAsia="Aptos Display" w:cs="Aptos Display"/>
          <w:color w:val="000000" w:themeColor="text1" w:themeTint="FF" w:themeShade="FF"/>
          <w:sz w:val="30"/>
          <w:szCs w:val="30"/>
        </w:rPr>
        <w:t>Pour aller plus loin :</w:t>
      </w:r>
    </w:p>
    <w:p w:rsidRPr="00F0158E" w:rsidR="002B48E1" w:rsidP="1EDECF99" w:rsidRDefault="0F99C995" w14:paraId="656797C9" w14:textId="77777777">
      <w:pPr>
        <w:rPr>
          <w:color w:val="000000" w:themeColor="text1"/>
        </w:rPr>
      </w:pPr>
      <w:r w:rsidRPr="00F0158E">
        <w:rPr>
          <w:color w:val="000000" w:themeColor="text1"/>
        </w:rPr>
        <w:t xml:space="preserve">Duval-Chiquet Lolita, Rougerie Maël (Ville de Rennes - Association Addictions France (35) et LMDE), </w:t>
      </w:r>
      <w:proofErr w:type="spellStart"/>
      <w:r w:rsidRPr="00F0158E">
        <w:rPr>
          <w:color w:val="000000" w:themeColor="text1"/>
        </w:rPr>
        <w:t>Delescluse</w:t>
      </w:r>
      <w:proofErr w:type="spellEnd"/>
      <w:r w:rsidRPr="00F0158E">
        <w:rPr>
          <w:color w:val="000000" w:themeColor="text1"/>
        </w:rPr>
        <w:t xml:space="preserve"> Timothée, </w:t>
      </w:r>
      <w:proofErr w:type="spellStart"/>
      <w:r w:rsidRPr="00F0158E">
        <w:rPr>
          <w:color w:val="000000" w:themeColor="text1"/>
        </w:rPr>
        <w:t>Georgelin</w:t>
      </w:r>
      <w:proofErr w:type="spellEnd"/>
      <w:r w:rsidRPr="00F0158E">
        <w:rPr>
          <w:color w:val="000000" w:themeColor="text1"/>
        </w:rPr>
        <w:t xml:space="preserve"> Béatrice (Société Française de Santé Publique (SFSP)). Dispositif </w:t>
      </w:r>
      <w:proofErr w:type="spellStart"/>
      <w:r w:rsidRPr="00F0158E">
        <w:rPr>
          <w:color w:val="000000" w:themeColor="text1"/>
        </w:rPr>
        <w:t>Noz’ambule</w:t>
      </w:r>
      <w:proofErr w:type="spellEnd"/>
      <w:r w:rsidRPr="00F0158E">
        <w:rPr>
          <w:color w:val="000000" w:themeColor="text1"/>
        </w:rPr>
        <w:t xml:space="preserve"> du plan de prévention des conduites à risques de la Ville de Rennes [Action menée par : Ville de Rennes – Association Addictions France (35) et LMDE]. Portail CAPS - Capitalisation des expériences en promotion de la santé, 2021, 12 pages. En ligne : </w:t>
      </w:r>
      <w:hyperlink w:tooltip="https://www.capitalisationsante.fr/capitalisations/dispositif-nozambule-du-plan-de-prevention-des-conduites-a-risques-de-la-ville-de-rennes/" w:history="1" r:id="rId19">
        <w:r w:rsidRPr="00F0158E">
          <w:rPr>
            <w:rStyle w:val="Lienhypertexte"/>
            <w:color w:val="000000" w:themeColor="text1"/>
          </w:rPr>
          <w:t>https://www.capitalisationsante.fr/capitalisations/dispositif-nozambule-du-plan-de-prevention-des-conduites-a-risques-de-la-ville-de-rennes/</w:t>
        </w:r>
      </w:hyperlink>
      <w:r w:rsidRPr="00F0158E">
        <w:rPr>
          <w:color w:val="000000" w:themeColor="text1"/>
        </w:rPr>
        <w:t>, [Dernière consultation : 01/09/2025].</w:t>
      </w:r>
    </w:p>
    <w:p w:rsidRPr="00F0158E" w:rsidR="0F99C995" w:rsidP="1EDECF99" w:rsidRDefault="0F99C995" w14:paraId="77884AFF" w14:textId="771E9408">
      <w:pPr>
        <w:rPr>
          <w:color w:val="000000" w:themeColor="text1"/>
        </w:rPr>
      </w:pPr>
    </w:p>
    <w:p w:rsidRPr="00F0158E" w:rsidR="002B48E1" w:rsidP="1EDECF99" w:rsidRDefault="0F99C995" w14:paraId="1E1386E6" w14:textId="77777777">
      <w:pPr>
        <w:rPr>
          <w:color w:val="000000" w:themeColor="text1"/>
        </w:rPr>
      </w:pPr>
      <w:proofErr w:type="spellStart"/>
      <w:r w:rsidRPr="00F0158E">
        <w:rPr>
          <w:color w:val="000000" w:themeColor="text1"/>
        </w:rPr>
        <w:t>Idier</w:t>
      </w:r>
      <w:proofErr w:type="spellEnd"/>
      <w:r w:rsidRPr="00F0158E">
        <w:rPr>
          <w:color w:val="000000" w:themeColor="text1"/>
        </w:rPr>
        <w:t xml:space="preserve">, L., </w:t>
      </w:r>
      <w:proofErr w:type="spellStart"/>
      <w:r w:rsidRPr="00F0158E">
        <w:rPr>
          <w:color w:val="000000" w:themeColor="text1"/>
        </w:rPr>
        <w:t>Décamps</w:t>
      </w:r>
      <w:proofErr w:type="spellEnd"/>
      <w:r w:rsidRPr="00F0158E">
        <w:rPr>
          <w:color w:val="000000" w:themeColor="text1"/>
        </w:rPr>
        <w:t xml:space="preserve">, G., </w:t>
      </w:r>
      <w:proofErr w:type="spellStart"/>
      <w:r w:rsidRPr="00F0158E">
        <w:rPr>
          <w:color w:val="000000" w:themeColor="text1"/>
        </w:rPr>
        <w:t>Rascle</w:t>
      </w:r>
      <w:proofErr w:type="spellEnd"/>
      <w:r w:rsidRPr="00F0158E">
        <w:rPr>
          <w:color w:val="000000" w:themeColor="text1"/>
        </w:rPr>
        <w:t xml:space="preserve">, N., &amp; </w:t>
      </w:r>
      <w:proofErr w:type="spellStart"/>
      <w:r w:rsidRPr="00F0158E">
        <w:rPr>
          <w:color w:val="000000" w:themeColor="text1"/>
        </w:rPr>
        <w:t>Koleck</w:t>
      </w:r>
      <w:proofErr w:type="spellEnd"/>
      <w:r w:rsidRPr="00F0158E">
        <w:rPr>
          <w:color w:val="000000" w:themeColor="text1"/>
        </w:rPr>
        <w:t xml:space="preserve">, M. (2010). Étude comparative de l’attirance, la fréquence et l’intensité des conduites addictives chez les étudiants et les étudiantes. Annales Médico-psychologiques Revue Psychiatrique, 169(8), 517‑522. </w:t>
      </w:r>
      <w:hyperlink w:tooltip="https://doi.org/10.1016/j.amp.2010.07.014" w:history="1" r:id="rId20">
        <w:r w:rsidRPr="00F0158E">
          <w:rPr>
            <w:rStyle w:val="Lienhypertexte"/>
            <w:color w:val="000000" w:themeColor="text1"/>
          </w:rPr>
          <w:t>https://doi.org/10.1016/j.amp.2010.07.014</w:t>
        </w:r>
      </w:hyperlink>
      <w:r w:rsidRPr="00F0158E">
        <w:rPr>
          <w:color w:val="000000" w:themeColor="text1"/>
        </w:rPr>
        <w:t xml:space="preserve"> </w:t>
      </w:r>
    </w:p>
    <w:p w:rsidRPr="00F0158E" w:rsidR="0F99C995" w:rsidP="1EDECF99" w:rsidRDefault="0F99C995" w14:paraId="13A3FE6E" w14:textId="22B589CF">
      <w:pPr>
        <w:rPr>
          <w:color w:val="000000" w:themeColor="text1"/>
        </w:rPr>
      </w:pPr>
    </w:p>
    <w:p w:rsidRPr="00F0158E" w:rsidR="002B48E1" w:rsidP="1EDECF99" w:rsidRDefault="1EDECF99" w14:paraId="7CF78E6C" w14:textId="77777777">
      <w:pPr>
        <w:rPr>
          <w:rStyle w:val="Lienhypertexte"/>
          <w:color w:val="000000" w:themeColor="text1"/>
        </w:rPr>
      </w:pPr>
      <w:proofErr w:type="spellStart"/>
      <w:r w:rsidRPr="00F0158E">
        <w:rPr>
          <w:color w:val="000000" w:themeColor="text1"/>
        </w:rPr>
        <w:t>Ifac</w:t>
      </w:r>
      <w:proofErr w:type="spellEnd"/>
      <w:r w:rsidRPr="00F0158E">
        <w:rPr>
          <w:color w:val="000000" w:themeColor="text1"/>
        </w:rPr>
        <w:t xml:space="preserve">, I. (s. d.). Le rôle de la </w:t>
      </w:r>
      <w:proofErr w:type="spellStart"/>
      <w:r w:rsidRPr="00F0158E">
        <w:rPr>
          <w:color w:val="000000" w:themeColor="text1"/>
        </w:rPr>
        <w:t>pair</w:t>
      </w:r>
      <w:proofErr w:type="spellEnd"/>
      <w:r w:rsidRPr="00F0158E">
        <w:rPr>
          <w:color w:val="000000" w:themeColor="text1"/>
        </w:rPr>
        <w:t>-</w:t>
      </w:r>
      <w:proofErr w:type="spellStart"/>
      <w:r w:rsidRPr="00F0158E">
        <w:rPr>
          <w:color w:val="000000" w:themeColor="text1"/>
        </w:rPr>
        <w:t>aidance</w:t>
      </w:r>
      <w:proofErr w:type="spellEnd"/>
      <w:r w:rsidRPr="00F0158E">
        <w:rPr>
          <w:color w:val="000000" w:themeColor="text1"/>
        </w:rPr>
        <w:t xml:space="preserve"> dans la prise en charge des addictions. IFAC. </w:t>
      </w:r>
      <w:hyperlink w:history="1">
        <w:r w:rsidRPr="00F0158E">
          <w:rPr>
            <w:rStyle w:val="Lienhypertexte"/>
            <w:color w:val="000000" w:themeColor="text1"/>
          </w:rPr>
          <w:t>https://ifac-addictions.chu-nantes.fr/la-boite-a-outils/le-role-de-la-pair-aidance-dans-la-prise-en-charge-des-addictions</w:t>
        </w:r>
      </w:hyperlink>
    </w:p>
    <w:p w:rsidRPr="00F0158E" w:rsidR="002B48E1" w:rsidP="1EDECF99" w:rsidRDefault="002B48E1" w14:paraId="0D0B940D" w14:textId="77777777">
      <w:pPr>
        <w:rPr>
          <w:color w:val="000000" w:themeColor="text1"/>
        </w:rPr>
      </w:pPr>
    </w:p>
    <w:p w:rsidRPr="00F0158E" w:rsidR="002B48E1" w:rsidP="1EDECF99" w:rsidRDefault="002B48E1" w14:paraId="0E27B00A" w14:textId="77777777">
      <w:pPr>
        <w:rPr>
          <w:color w:val="000000" w:themeColor="text1"/>
        </w:rPr>
      </w:pPr>
    </w:p>
    <w:sectPr w:rsidRPr="00F0158E" w:rsidR="002B48E1">
      <w:pgSz w:w="11906" w:h="16838" w:orient="portrait"/>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B09EC" w:rsidRDefault="00AB09EC" w14:paraId="64EDF3D0" w14:textId="77777777">
      <w:pPr>
        <w:spacing w:after="0" w:line="240" w:lineRule="auto"/>
      </w:pPr>
      <w:r>
        <w:separator/>
      </w:r>
    </w:p>
  </w:endnote>
  <w:endnote w:type="continuationSeparator" w:id="0">
    <w:p w:rsidR="00AB09EC" w:rsidRDefault="00AB09EC" w14:paraId="3F686B2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B09EC" w:rsidRDefault="00AB09EC" w14:paraId="4D9EFA99" w14:textId="77777777">
      <w:pPr>
        <w:spacing w:after="0" w:line="240" w:lineRule="auto"/>
      </w:pPr>
      <w:r>
        <w:separator/>
      </w:r>
    </w:p>
  </w:footnote>
  <w:footnote w:type="continuationSeparator" w:id="0">
    <w:p w:rsidR="00AB09EC" w:rsidRDefault="00AB09EC" w14:paraId="1CA8DA4E" w14:textId="77777777">
      <w:pPr>
        <w:spacing w:after="0" w:line="240" w:lineRule="auto"/>
      </w:pPr>
      <w:r>
        <w:continuationSeparator/>
      </w:r>
    </w:p>
  </w:footnote>
  <w:footnote w:id="1">
    <w:p w:rsidR="002B48E1" w:rsidRDefault="00AB09EC" w14:paraId="27E50B6D" w14:textId="77777777">
      <w:pPr>
        <w:pStyle w:val="Notedebasdepage"/>
      </w:pPr>
      <w:r>
        <w:rPr>
          <w:rStyle w:val="Appelnotedebasdep"/>
        </w:rPr>
        <w:footnoteRef/>
      </w:r>
      <w:r>
        <w:t xml:space="preserve"> </w:t>
      </w:r>
      <w:hyperlink w:tooltip="https://www.grand-est.ars.sante.fr/media/56624/download?inline" w:history="1" r:id="rId1">
        <w:r>
          <w:rPr>
            <w:rStyle w:val="Lienhypertexte"/>
            <w:rFonts w:ascii="Open Sans" w:hAnsi="Open Sans" w:eastAsia="Open Sans" w:cs="Open Sans"/>
            <w:color w:val="476598"/>
            <w:sz w:val="24"/>
            <w:szCs w:val="24"/>
          </w:rPr>
          <w:t>https://www.grand-est.ars.sante.fr/media/56624/download ?</w:t>
        </w:r>
        <w:proofErr w:type="spellStart"/>
        <w:r>
          <w:rPr>
            <w:rStyle w:val="Lienhypertexte"/>
            <w:rFonts w:ascii="Open Sans" w:hAnsi="Open Sans" w:eastAsia="Open Sans" w:cs="Open Sans"/>
            <w:color w:val="476598"/>
            <w:sz w:val="24"/>
            <w:szCs w:val="24"/>
          </w:rPr>
          <w:t>inline</w:t>
        </w:r>
        <w:proofErr w:type="spellEnd"/>
      </w:hyperlink>
      <w:r>
        <w:rPr>
          <w:rFonts w:ascii="Open Sans" w:hAnsi="Open Sans" w:eastAsia="Open Sans" w:cs="Open Sans"/>
          <w:color w:val="476598"/>
          <w:sz w:val="24"/>
          <w:szCs w:val="24"/>
          <w:u w:val="single"/>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D471BF"/>
    <w:multiLevelType w:val="hybridMultilevel"/>
    <w:tmpl w:val="D1C405B6"/>
    <w:lvl w:ilvl="0" w:tplc="52F01D1C">
      <w:start w:val="1"/>
      <w:numFmt w:val="bullet"/>
      <w:lvlText w:val="-"/>
      <w:lvlJc w:val="left"/>
      <w:pPr>
        <w:ind w:left="1080" w:hanging="360"/>
      </w:pPr>
      <w:rPr>
        <w:rFonts w:hint="default" w:ascii="Aptos" w:hAnsi="Aptos"/>
      </w:rPr>
    </w:lvl>
    <w:lvl w:ilvl="1" w:tplc="01440126">
      <w:start w:val="1"/>
      <w:numFmt w:val="bullet"/>
      <w:lvlText w:val="o"/>
      <w:lvlJc w:val="left"/>
      <w:pPr>
        <w:ind w:left="1800" w:hanging="360"/>
      </w:pPr>
      <w:rPr>
        <w:rFonts w:hint="default" w:ascii="Courier New" w:hAnsi="Courier New"/>
      </w:rPr>
    </w:lvl>
    <w:lvl w:ilvl="2" w:tplc="6152232E">
      <w:start w:val="1"/>
      <w:numFmt w:val="bullet"/>
      <w:lvlText w:val=""/>
      <w:lvlJc w:val="left"/>
      <w:pPr>
        <w:ind w:left="2520" w:hanging="360"/>
      </w:pPr>
      <w:rPr>
        <w:rFonts w:hint="default" w:ascii="Wingdings" w:hAnsi="Wingdings"/>
      </w:rPr>
    </w:lvl>
    <w:lvl w:ilvl="3" w:tplc="17C2C496">
      <w:start w:val="1"/>
      <w:numFmt w:val="bullet"/>
      <w:lvlText w:val=""/>
      <w:lvlJc w:val="left"/>
      <w:pPr>
        <w:ind w:left="3240" w:hanging="360"/>
      </w:pPr>
      <w:rPr>
        <w:rFonts w:hint="default" w:ascii="Symbol" w:hAnsi="Symbol"/>
      </w:rPr>
    </w:lvl>
    <w:lvl w:ilvl="4" w:tplc="42508C0C">
      <w:start w:val="1"/>
      <w:numFmt w:val="bullet"/>
      <w:lvlText w:val="o"/>
      <w:lvlJc w:val="left"/>
      <w:pPr>
        <w:ind w:left="3960" w:hanging="360"/>
      </w:pPr>
      <w:rPr>
        <w:rFonts w:hint="default" w:ascii="Courier New" w:hAnsi="Courier New"/>
      </w:rPr>
    </w:lvl>
    <w:lvl w:ilvl="5" w:tplc="21A89AAC">
      <w:start w:val="1"/>
      <w:numFmt w:val="bullet"/>
      <w:lvlText w:val=""/>
      <w:lvlJc w:val="left"/>
      <w:pPr>
        <w:ind w:left="4680" w:hanging="360"/>
      </w:pPr>
      <w:rPr>
        <w:rFonts w:hint="default" w:ascii="Wingdings" w:hAnsi="Wingdings"/>
      </w:rPr>
    </w:lvl>
    <w:lvl w:ilvl="6" w:tplc="3C167D00">
      <w:start w:val="1"/>
      <w:numFmt w:val="bullet"/>
      <w:lvlText w:val=""/>
      <w:lvlJc w:val="left"/>
      <w:pPr>
        <w:ind w:left="5400" w:hanging="360"/>
      </w:pPr>
      <w:rPr>
        <w:rFonts w:hint="default" w:ascii="Symbol" w:hAnsi="Symbol"/>
      </w:rPr>
    </w:lvl>
    <w:lvl w:ilvl="7" w:tplc="0D1E9EDE">
      <w:start w:val="1"/>
      <w:numFmt w:val="bullet"/>
      <w:lvlText w:val="o"/>
      <w:lvlJc w:val="left"/>
      <w:pPr>
        <w:ind w:left="6120" w:hanging="360"/>
      </w:pPr>
      <w:rPr>
        <w:rFonts w:hint="default" w:ascii="Courier New" w:hAnsi="Courier New"/>
      </w:rPr>
    </w:lvl>
    <w:lvl w:ilvl="8" w:tplc="5776CA1E">
      <w:start w:val="1"/>
      <w:numFmt w:val="bullet"/>
      <w:lvlText w:val=""/>
      <w:lvlJc w:val="left"/>
      <w:pPr>
        <w:ind w:left="6840" w:hanging="360"/>
      </w:pPr>
      <w:rPr>
        <w:rFonts w:hint="default" w:ascii="Wingdings" w:hAnsi="Wingdings"/>
      </w:rPr>
    </w:lvl>
  </w:abstractNum>
  <w:abstractNum w:abstractNumId="1" w15:restartNumberingAfterBreak="0">
    <w:nsid w:val="779FB25A"/>
    <w:multiLevelType w:val="multilevel"/>
    <w:tmpl w:val="1CC620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FD05293"/>
    <w:multiLevelType w:val="multilevel"/>
    <w:tmpl w:val="378A3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20636997">
    <w:abstractNumId w:val="0"/>
  </w:num>
  <w:num w:numId="2" w16cid:durableId="807012494">
    <w:abstractNumId w:val="2"/>
  </w:num>
  <w:num w:numId="3" w16cid:durableId="12650714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AEF402B"/>
    <w:rsid w:val="002A3109"/>
    <w:rsid w:val="002B48E1"/>
    <w:rsid w:val="00AB09EC"/>
    <w:rsid w:val="00F0158E"/>
    <w:rsid w:val="0245C21F"/>
    <w:rsid w:val="037A3446"/>
    <w:rsid w:val="04972117"/>
    <w:rsid w:val="04DF0AFB"/>
    <w:rsid w:val="064E9189"/>
    <w:rsid w:val="0A316F66"/>
    <w:rsid w:val="0A47B081"/>
    <w:rsid w:val="0AEF402B"/>
    <w:rsid w:val="0DD2E5B8"/>
    <w:rsid w:val="0E61B491"/>
    <w:rsid w:val="0F99C995"/>
    <w:rsid w:val="11E68CC7"/>
    <w:rsid w:val="12E351EE"/>
    <w:rsid w:val="15CC4C86"/>
    <w:rsid w:val="1728E647"/>
    <w:rsid w:val="177A8A9B"/>
    <w:rsid w:val="19DCC937"/>
    <w:rsid w:val="1AF1F385"/>
    <w:rsid w:val="1B1A4407"/>
    <w:rsid w:val="1B89696A"/>
    <w:rsid w:val="1C81A218"/>
    <w:rsid w:val="1CDF4522"/>
    <w:rsid w:val="1EDECF99"/>
    <w:rsid w:val="21AB8AAC"/>
    <w:rsid w:val="23EE2EED"/>
    <w:rsid w:val="257BB01D"/>
    <w:rsid w:val="2587A313"/>
    <w:rsid w:val="25CDC184"/>
    <w:rsid w:val="28F76620"/>
    <w:rsid w:val="292EA21E"/>
    <w:rsid w:val="2AA37F6A"/>
    <w:rsid w:val="2B68193E"/>
    <w:rsid w:val="2C0DB05A"/>
    <w:rsid w:val="2F742585"/>
    <w:rsid w:val="2F7BFA98"/>
    <w:rsid w:val="307C0F3C"/>
    <w:rsid w:val="32322655"/>
    <w:rsid w:val="32B947D1"/>
    <w:rsid w:val="381127C0"/>
    <w:rsid w:val="399A662E"/>
    <w:rsid w:val="39EE246D"/>
    <w:rsid w:val="3A4D629D"/>
    <w:rsid w:val="3C58B0F5"/>
    <w:rsid w:val="3D9B694A"/>
    <w:rsid w:val="3DB38C71"/>
    <w:rsid w:val="3F7E0632"/>
    <w:rsid w:val="40CC25CA"/>
    <w:rsid w:val="40F23E9F"/>
    <w:rsid w:val="42C5601C"/>
    <w:rsid w:val="4306CD06"/>
    <w:rsid w:val="43CD50E8"/>
    <w:rsid w:val="44EBF034"/>
    <w:rsid w:val="4D2FBF66"/>
    <w:rsid w:val="4FA80271"/>
    <w:rsid w:val="5147D03B"/>
    <w:rsid w:val="52C580CC"/>
    <w:rsid w:val="5389461B"/>
    <w:rsid w:val="54A5C458"/>
    <w:rsid w:val="58E0A5C8"/>
    <w:rsid w:val="5B9C490E"/>
    <w:rsid w:val="5BD70EA3"/>
    <w:rsid w:val="5CD2D09B"/>
    <w:rsid w:val="5E0D7B81"/>
    <w:rsid w:val="5E68DC6E"/>
    <w:rsid w:val="5F6A31E1"/>
    <w:rsid w:val="62CD1AC3"/>
    <w:rsid w:val="63DC3F8F"/>
    <w:rsid w:val="66D36DEF"/>
    <w:rsid w:val="673009D4"/>
    <w:rsid w:val="6764C8A6"/>
    <w:rsid w:val="6AC44ACD"/>
    <w:rsid w:val="6DB3A7E9"/>
    <w:rsid w:val="6E280C2B"/>
    <w:rsid w:val="7032E1B0"/>
    <w:rsid w:val="72F40B96"/>
    <w:rsid w:val="7319C8A0"/>
    <w:rsid w:val="739C5A65"/>
    <w:rsid w:val="77EDA0AA"/>
    <w:rsid w:val="7939F5BF"/>
    <w:rsid w:val="7A60F703"/>
    <w:rsid w:val="7A84C521"/>
    <w:rsid w:val="7C4806EE"/>
    <w:rsid w:val="7F7E60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1AD28"/>
  <w15:docId w15:val="{5ECC34EA-386C-440A-8836-D56E1ACE8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fr-FR"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link w:val="Titre1C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Titre2">
    <w:name w:val="heading 2"/>
    <w:basedOn w:val="Normal"/>
    <w:next w:val="Normal"/>
    <w:link w:val="Titre2C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Titre3">
    <w:name w:val="heading 3"/>
    <w:basedOn w:val="Normal"/>
    <w:next w:val="Normal"/>
    <w:link w:val="Titre3C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unhideWhenUsed/>
    <w:qFormat/>
    <w:pPr>
      <w:keepNext/>
      <w:keepLines/>
      <w:spacing w:before="80" w:after="40"/>
      <w:outlineLvl w:val="3"/>
    </w:pPr>
    <w:rPr>
      <w:rFonts w:ascii="Arial" w:hAnsi="Arial" w:eastAsia="Arial" w:cs="Arial"/>
      <w:i/>
      <w:iCs/>
      <w:color w:val="0F4761" w:themeColor="accent1" w:themeShade="BF"/>
    </w:rPr>
  </w:style>
  <w:style w:type="paragraph" w:styleId="Titre5">
    <w:name w:val="heading 5"/>
    <w:basedOn w:val="Normal"/>
    <w:next w:val="Normal"/>
    <w:link w:val="Titre5Car"/>
    <w:uiPriority w:val="9"/>
    <w:unhideWhenUsed/>
    <w:qFormat/>
    <w:pPr>
      <w:keepNext/>
      <w:keepLines/>
      <w:spacing w:before="80" w:after="40"/>
      <w:outlineLvl w:val="4"/>
    </w:pPr>
    <w:rPr>
      <w:rFonts w:ascii="Arial" w:hAnsi="Arial" w:eastAsia="Arial" w:cs="Arial"/>
      <w:color w:val="0F4761" w:themeColor="accent1" w:themeShade="BF"/>
    </w:rPr>
  </w:style>
  <w:style w:type="paragraph" w:styleId="Titre6">
    <w:name w:val="heading 6"/>
    <w:basedOn w:val="Normal"/>
    <w:next w:val="Normal"/>
    <w:link w:val="Titre6Car"/>
    <w:uiPriority w:val="9"/>
    <w:unhideWhenUsed/>
    <w:qFormat/>
    <w:pPr>
      <w:keepNext/>
      <w:keepLines/>
      <w:spacing w:before="40" w:after="0"/>
      <w:outlineLvl w:val="5"/>
    </w:pPr>
    <w:rPr>
      <w:rFonts w:ascii="Arial" w:hAnsi="Arial" w:eastAsia="Arial" w:cs="Arial"/>
      <w:i/>
      <w:iCs/>
      <w:color w:val="595959" w:themeColor="text1" w:themeTint="A6"/>
    </w:rPr>
  </w:style>
  <w:style w:type="paragraph" w:styleId="Titre7">
    <w:name w:val="heading 7"/>
    <w:basedOn w:val="Normal"/>
    <w:next w:val="Normal"/>
    <w:link w:val="Titre7Car"/>
    <w:uiPriority w:val="9"/>
    <w:unhideWhenUsed/>
    <w:qFormat/>
    <w:pPr>
      <w:keepNext/>
      <w:keepLines/>
      <w:spacing w:before="40" w:after="0"/>
      <w:outlineLvl w:val="6"/>
    </w:pPr>
    <w:rPr>
      <w:rFonts w:ascii="Arial" w:hAnsi="Arial" w:eastAsia="Arial" w:cs="Arial"/>
      <w:color w:val="595959" w:themeColor="text1" w:themeTint="A6"/>
    </w:rPr>
  </w:style>
  <w:style w:type="paragraph" w:styleId="Titre8">
    <w:name w:val="heading 8"/>
    <w:basedOn w:val="Normal"/>
    <w:next w:val="Normal"/>
    <w:link w:val="Titre8Car"/>
    <w:uiPriority w:val="9"/>
    <w:unhideWhenUsed/>
    <w:qFormat/>
    <w:pPr>
      <w:keepNext/>
      <w:keepLines/>
      <w:spacing w:after="0"/>
      <w:outlineLvl w:val="7"/>
    </w:pPr>
    <w:rPr>
      <w:rFonts w:ascii="Arial" w:hAnsi="Arial" w:eastAsia="Arial" w:cs="Arial"/>
      <w:i/>
      <w:iCs/>
      <w:color w:val="272727" w:themeColor="text1" w:themeTint="D8"/>
    </w:rPr>
  </w:style>
  <w:style w:type="paragraph" w:styleId="Titre9">
    <w:name w:val="heading 9"/>
    <w:basedOn w:val="Normal"/>
    <w:next w:val="Normal"/>
    <w:link w:val="Titre9Car"/>
    <w:uiPriority w:val="9"/>
    <w:unhideWhenUsed/>
    <w:qFormat/>
    <w:pPr>
      <w:keepNext/>
      <w:keepLines/>
      <w:spacing w:after="0"/>
      <w:outlineLvl w:val="8"/>
    </w:pPr>
    <w:rPr>
      <w:rFonts w:ascii="Arial" w:hAnsi="Arial" w:eastAsia="Arial" w:cs="Arial"/>
      <w:i/>
      <w:iCs/>
      <w:color w:val="272727" w:themeColor="text1" w:themeTint="D8"/>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Heading1Char" w:customStyle="1">
    <w:name w:val="Heading 1 Char"/>
    <w:basedOn w:val="Policepardfaut"/>
    <w:uiPriority w:val="9"/>
    <w:rPr>
      <w:rFonts w:ascii="Arial" w:hAnsi="Arial" w:eastAsia="Arial" w:cs="Arial"/>
      <w:color w:val="0F4761" w:themeColor="accent1" w:themeShade="BF"/>
      <w:sz w:val="40"/>
      <w:szCs w:val="40"/>
    </w:rPr>
  </w:style>
  <w:style w:type="character" w:styleId="Heading2Char" w:customStyle="1">
    <w:name w:val="Heading 2 Char"/>
    <w:basedOn w:val="Policepardfaut"/>
    <w:uiPriority w:val="9"/>
    <w:rPr>
      <w:rFonts w:ascii="Arial" w:hAnsi="Arial" w:eastAsia="Arial" w:cs="Arial"/>
      <w:color w:val="0F4761" w:themeColor="accent1" w:themeShade="BF"/>
      <w:sz w:val="32"/>
      <w:szCs w:val="32"/>
    </w:rPr>
  </w:style>
  <w:style w:type="character" w:styleId="Heading3Char" w:customStyle="1">
    <w:name w:val="Heading 3 Char"/>
    <w:basedOn w:val="Policepardfaut"/>
    <w:uiPriority w:val="9"/>
    <w:rPr>
      <w:rFonts w:ascii="Arial" w:hAnsi="Arial" w:eastAsia="Arial" w:cs="Arial"/>
      <w:color w:val="0F4761" w:themeColor="accent1" w:themeShade="BF"/>
      <w:sz w:val="28"/>
      <w:szCs w:val="28"/>
    </w:rPr>
  </w:style>
  <w:style w:type="character" w:styleId="Heading4Char" w:customStyle="1">
    <w:name w:val="Heading 4 Char"/>
    <w:basedOn w:val="Policepardfaut"/>
    <w:uiPriority w:val="9"/>
    <w:rPr>
      <w:rFonts w:ascii="Arial" w:hAnsi="Arial" w:eastAsia="Arial" w:cs="Arial"/>
      <w:i/>
      <w:iCs/>
      <w:color w:val="0F4761" w:themeColor="accent1" w:themeShade="BF"/>
    </w:rPr>
  </w:style>
  <w:style w:type="character" w:styleId="Heading5Char" w:customStyle="1">
    <w:name w:val="Heading 5 Char"/>
    <w:basedOn w:val="Policepardfaut"/>
    <w:uiPriority w:val="9"/>
    <w:rPr>
      <w:rFonts w:ascii="Arial" w:hAnsi="Arial" w:eastAsia="Arial" w:cs="Arial"/>
      <w:color w:val="0F4761" w:themeColor="accent1" w:themeShade="BF"/>
    </w:rPr>
  </w:style>
  <w:style w:type="character" w:styleId="Heading6Char" w:customStyle="1">
    <w:name w:val="Heading 6 Char"/>
    <w:basedOn w:val="Policepardfaut"/>
    <w:uiPriority w:val="9"/>
    <w:rPr>
      <w:rFonts w:ascii="Arial" w:hAnsi="Arial" w:eastAsia="Arial" w:cs="Arial"/>
      <w:i/>
      <w:iCs/>
      <w:color w:val="595959" w:themeColor="text1" w:themeTint="A6"/>
    </w:rPr>
  </w:style>
  <w:style w:type="character" w:styleId="Heading7Char" w:customStyle="1">
    <w:name w:val="Heading 7 Char"/>
    <w:basedOn w:val="Policepardfaut"/>
    <w:uiPriority w:val="9"/>
    <w:rPr>
      <w:rFonts w:ascii="Arial" w:hAnsi="Arial" w:eastAsia="Arial" w:cs="Arial"/>
      <w:color w:val="595959" w:themeColor="text1" w:themeTint="A6"/>
    </w:rPr>
  </w:style>
  <w:style w:type="character" w:styleId="Heading8Char" w:customStyle="1">
    <w:name w:val="Heading 8 Char"/>
    <w:basedOn w:val="Policepardfaut"/>
    <w:uiPriority w:val="9"/>
    <w:rPr>
      <w:rFonts w:ascii="Arial" w:hAnsi="Arial" w:eastAsia="Arial" w:cs="Arial"/>
      <w:i/>
      <w:iCs/>
      <w:color w:val="272727" w:themeColor="text1" w:themeTint="D8"/>
    </w:rPr>
  </w:style>
  <w:style w:type="character" w:styleId="Heading9Char" w:customStyle="1">
    <w:name w:val="Heading 9 Char"/>
    <w:basedOn w:val="Policepardfaut"/>
    <w:uiPriority w:val="9"/>
    <w:rPr>
      <w:rFonts w:ascii="Arial" w:hAnsi="Arial" w:eastAsia="Arial" w:cs="Arial"/>
      <w:i/>
      <w:iCs/>
      <w:color w:val="272727" w:themeColor="text1" w:themeTint="D8"/>
    </w:rPr>
  </w:style>
  <w:style w:type="character" w:styleId="TitleChar" w:customStyle="1">
    <w:name w:val="Title Char"/>
    <w:basedOn w:val="Policepardfaut"/>
    <w:uiPriority w:val="10"/>
    <w:rPr>
      <w:rFonts w:ascii="Arial" w:hAnsi="Arial" w:eastAsia="Arial" w:cs="Arial"/>
      <w:spacing w:val="-10"/>
      <w:sz w:val="56"/>
      <w:szCs w:val="56"/>
    </w:rPr>
  </w:style>
  <w:style w:type="character" w:styleId="SubtitleChar" w:customStyle="1">
    <w:name w:val="Subtitle Char"/>
    <w:basedOn w:val="Policepardfaut"/>
    <w:uiPriority w:val="11"/>
    <w:rPr>
      <w:color w:val="595959" w:themeColor="text1" w:themeTint="A6"/>
      <w:spacing w:val="15"/>
      <w:sz w:val="28"/>
      <w:szCs w:val="28"/>
    </w:rPr>
  </w:style>
  <w:style w:type="character" w:styleId="QuoteChar" w:customStyle="1">
    <w:name w:val="Quote Char"/>
    <w:basedOn w:val="Policepardfaut"/>
    <w:uiPriority w:val="29"/>
    <w:rPr>
      <w:i/>
      <w:iCs/>
      <w:color w:val="404040" w:themeColor="text1" w:themeTint="BF"/>
    </w:rPr>
  </w:style>
  <w:style w:type="character" w:styleId="IntenseQuoteChar" w:customStyle="1">
    <w:name w:val="Intense Quote Char"/>
    <w:basedOn w:val="Policepardfaut"/>
    <w:uiPriority w:val="30"/>
    <w:rPr>
      <w:i/>
      <w:iCs/>
      <w:color w:val="0F4761" w:themeColor="accent1" w:themeShade="BF"/>
    </w:rPr>
  </w:style>
  <w:style w:type="character" w:styleId="HeaderChar" w:customStyle="1">
    <w:name w:val="Header Char"/>
    <w:basedOn w:val="Policepardfaut"/>
    <w:uiPriority w:val="99"/>
  </w:style>
  <w:style w:type="character" w:styleId="FooterChar" w:customStyle="1">
    <w:name w:val="Footer Char"/>
    <w:basedOn w:val="Policepardfaut"/>
    <w:uiPriority w:val="99"/>
  </w:style>
  <w:style w:type="character" w:styleId="FootnoteTextChar" w:customStyle="1">
    <w:name w:val="Footnote Text Char"/>
    <w:basedOn w:val="Policepardfaut"/>
    <w:uiPriority w:val="99"/>
    <w:semiHidden/>
    <w:rPr>
      <w:sz w:val="20"/>
      <w:szCs w:val="20"/>
    </w:rPr>
  </w:style>
  <w:style w:type="character" w:styleId="EndnoteTextChar" w:customStyle="1">
    <w:name w:val="Endnote Text Char"/>
    <w:basedOn w:val="Policepardfaut"/>
    <w:uiPriority w:val="99"/>
    <w:semiHidden/>
    <w:rPr>
      <w:sz w:val="20"/>
      <w:szCs w:val="20"/>
    </w:rPr>
  </w:style>
  <w:style w:type="table" w:styleId="TableGridLight" w:customStyle="1">
    <w:name w:val="Table Grid Light"/>
    <w:basedOn w:val="TableauNormal"/>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Tableausimple1">
    <w:name w:val="Plain Table 1"/>
    <w:basedOn w:val="TableauNormal"/>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firstRow">
      <w:rPr>
        <w:rFonts w:ascii="Arial" w:hAnsi="Arial"/>
        <w:b/>
        <w:color w:val="404040"/>
        <w:sz w:val="22"/>
      </w:rPr>
      <w:tbl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color="000000" w:themeColor="text1" w:sz="4" w:space="0"/>
          <w:right w:val="single" w:color="000000" w:themeColor="text1" w:sz="4" w:space="0"/>
        </w:tcBorders>
      </w:tcPr>
    </w:tblStylePr>
    <w:tblStylePr w:type="band2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color="000000" w:sz="4" w:space="0"/>
          <w:left w:val="none" w:color="000000" w:sz="4" w:space="0"/>
          <w:bottom w:val="single" w:color="404040" w:sz="4" w:space="0"/>
          <w:right w:val="none" w:color="000000" w:sz="4" w:space="0"/>
        </w:tcBorders>
      </w:tcPr>
    </w:tblStylePr>
    <w:tblStylePr w:type="lastRow">
      <w:rPr>
        <w:b/>
        <w:caps/>
        <w:color w:val="404040"/>
      </w:rPr>
    </w:tblStylePr>
    <w:tblStylePr w:type="firstCol">
      <w:rPr>
        <w:b/>
        <w:caps/>
        <w:color w:val="404040"/>
      </w:rPr>
      <w:tblPr/>
      <w:tcPr>
        <w:tcBorders>
          <w:top w:val="none" w:color="000000" w:sz="4" w:space="0"/>
          <w:left w:val="none" w:color="000000" w:sz="4" w:space="0"/>
          <w:bottom w:val="none" w:color="000000" w:sz="4" w:space="0"/>
          <w:right w:val="single" w:color="404040" w:sz="4" w:space="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color="000000" w:sz="4" w:space="0"/>
          <w:bottom w:val="single" w:color="404040" w:sz="4" w:space="0"/>
          <w:right w:val="none" w:color="000000" w:sz="4" w:space="0"/>
        </w:tcBorders>
        <w:shd w:val="clear" w:color="FFFFFF" w:fill="auto"/>
      </w:tcPr>
    </w:tblStylePr>
    <w:tblStylePr w:type="lastRow">
      <w:rPr>
        <w:i/>
        <w:color w:val="404040"/>
      </w:rPr>
      <w:tblPr/>
      <w:tcPr>
        <w:tcBorders>
          <w:top w:val="single" w:color="404040" w:sz="4" w:space="0"/>
          <w:left w:val="none" w:color="000000" w:sz="4" w:space="0"/>
          <w:right w:val="none" w:color="000000" w:sz="4" w:space="0"/>
        </w:tcBorders>
        <w:shd w:val="clear" w:color="FFFFFF" w:fill="auto"/>
      </w:tcPr>
    </w:tblStylePr>
    <w:tblStylePr w:type="firstCol">
      <w:pPr>
        <w:jc w:val="right"/>
      </w:pPr>
      <w:rPr>
        <w:i/>
        <w:color w:val="404040"/>
      </w:rPr>
      <w:tblPr/>
      <w:tcPr>
        <w:tcBorders>
          <w:right w:val="single" w:color="404040" w:sz="4" w:space="0"/>
        </w:tcBorders>
        <w:shd w:val="clear" w:color="FFFFFF" w:fill="auto"/>
      </w:tcPr>
    </w:tblStylePr>
    <w:tblStylePr w:type="lastCol">
      <w:rPr>
        <w:i/>
        <w:color w:val="404040"/>
      </w:rPr>
      <w:tblPr/>
      <w:tcPr>
        <w:tcBorders>
          <w:left w:val="single" w:color="404040" w:sz="4" w:space="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firstRow">
      <w:rPr>
        <w:b/>
        <w:color w:val="404040"/>
      </w:rPr>
      <w:tblPr/>
      <w:tcPr>
        <w:tcBorders>
          <w:bottom w:val="single" w:color="6A6A6A"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style>
  <w:style w:type="table" w:styleId="GridTable1Light-Accent1" w:customStyle="1">
    <w:name w:val="Grid Table 1 Light - Accent 1"/>
    <w:basedOn w:val="TableauNormal"/>
    <w:uiPriority w:val="99"/>
    <w:pPr>
      <w:spacing w:after="0" w:line="240" w:lineRule="auto"/>
    </w:pPr>
    <w:tblPr>
      <w:tblStyleRowBandSize w:val="1"/>
      <w:tblStyleColBandSize w:val="1"/>
      <w:tblBorders>
        <w:top w:val="single" w:color="81C9EA" w:themeColor="accent1" w:themeTint="67" w:sz="4" w:space="0"/>
        <w:left w:val="single" w:color="81C9EA" w:themeColor="accent1" w:themeTint="67" w:sz="4" w:space="0"/>
        <w:bottom w:val="single" w:color="81C9EA" w:themeColor="accent1" w:themeTint="67" w:sz="4" w:space="0"/>
        <w:right w:val="single" w:color="81C9EA" w:themeColor="accent1" w:themeTint="67" w:sz="4" w:space="0"/>
        <w:insideH w:val="single" w:color="81C9EA" w:themeColor="accent1" w:themeTint="67" w:sz="4" w:space="0"/>
        <w:insideV w:val="single" w:color="81C9EA" w:themeColor="accent1" w:themeTint="67" w:sz="4" w:space="0"/>
      </w:tblBorders>
    </w:tblPr>
    <w:tblStylePr w:type="firstRow">
      <w:rPr>
        <w:b/>
        <w:color w:val="404040"/>
      </w:rPr>
      <w:tblPr/>
      <w:tcPr>
        <w:tcBorders>
          <w:bottom w:val="single" w:color="4AB2E1"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81C9EA" w:themeColor="accent1" w:themeTint="67" w:sz="4" w:space="0"/>
          <w:left w:val="single" w:color="81C9EA" w:themeColor="accent1" w:themeTint="67" w:sz="4" w:space="0"/>
          <w:bottom w:val="single" w:color="81C9EA" w:themeColor="accent1" w:themeTint="67" w:sz="4" w:space="0"/>
          <w:right w:val="single" w:color="81C9EA" w:themeColor="accent1" w:themeTint="67" w:sz="4" w:space="0"/>
        </w:tcBorders>
      </w:tcPr>
    </w:tblStylePr>
  </w:style>
  <w:style w:type="table" w:styleId="GridTable1Light-Accent2" w:customStyle="1">
    <w:name w:val="Grid Table 1 Light - Accent 2"/>
    <w:basedOn w:val="TableauNormal"/>
    <w:uiPriority w:val="99"/>
    <w:pPr>
      <w:spacing w:after="0" w:line="240" w:lineRule="auto"/>
    </w:pPr>
    <w:tblPr>
      <w:tblStyleRowBandSize w:val="1"/>
      <w:tblStyleColBandSize w:val="1"/>
      <w:tblBorders>
        <w:top w:val="single" w:color="F6C5AB" w:themeColor="accent2" w:themeTint="67" w:sz="4" w:space="0"/>
        <w:left w:val="single" w:color="F6C5AB" w:themeColor="accent2" w:themeTint="67" w:sz="4" w:space="0"/>
        <w:bottom w:val="single" w:color="F6C5AB" w:themeColor="accent2" w:themeTint="67" w:sz="4" w:space="0"/>
        <w:right w:val="single" w:color="F6C5AB" w:themeColor="accent2" w:themeTint="67" w:sz="4" w:space="0"/>
        <w:insideH w:val="single" w:color="F6C5AB" w:themeColor="accent2" w:themeTint="67" w:sz="4" w:space="0"/>
        <w:insideV w:val="single" w:color="F6C5AB" w:themeColor="accent2" w:themeTint="67" w:sz="4" w:space="0"/>
      </w:tblBorders>
    </w:tblPr>
    <w:tblStylePr w:type="firstRow">
      <w:rPr>
        <w:b/>
        <w:color w:val="404040"/>
      </w:rPr>
      <w:tblPr/>
      <w:tcPr>
        <w:tcBorders>
          <w:bottom w:val="single" w:color="F2AB87"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F6C5AB" w:themeColor="accent2" w:themeTint="67" w:sz="4" w:space="0"/>
          <w:left w:val="single" w:color="F6C5AB" w:themeColor="accent2" w:themeTint="67" w:sz="4" w:space="0"/>
          <w:bottom w:val="single" w:color="F6C5AB" w:themeColor="accent2" w:themeTint="67" w:sz="4" w:space="0"/>
          <w:right w:val="single" w:color="F6C5AB" w:themeColor="accent2" w:themeTint="67" w:sz="4" w:space="0"/>
        </w:tcBorders>
      </w:tcPr>
    </w:tblStylePr>
  </w:style>
  <w:style w:type="table" w:styleId="GridTable1Light-Accent3" w:customStyle="1">
    <w:name w:val="Grid Table 1 Light - Accent 3"/>
    <w:basedOn w:val="TableauNormal"/>
    <w:uiPriority w:val="99"/>
    <w:pPr>
      <w:spacing w:after="0" w:line="240" w:lineRule="auto"/>
    </w:pPr>
    <w:tblPr>
      <w:tblStyleRowBandSize w:val="1"/>
      <w:tblStyleColBandSize w:val="1"/>
      <w:tblBorders>
        <w:top w:val="single" w:color="83E28F" w:themeColor="accent3" w:themeTint="67" w:sz="4" w:space="0"/>
        <w:left w:val="single" w:color="83E28F" w:themeColor="accent3" w:themeTint="67" w:sz="4" w:space="0"/>
        <w:bottom w:val="single" w:color="83E28F" w:themeColor="accent3" w:themeTint="67" w:sz="4" w:space="0"/>
        <w:right w:val="single" w:color="83E28F" w:themeColor="accent3" w:themeTint="67" w:sz="4" w:space="0"/>
        <w:insideH w:val="single" w:color="83E28F" w:themeColor="accent3" w:themeTint="67" w:sz="4" w:space="0"/>
        <w:insideV w:val="single" w:color="83E28F" w:themeColor="accent3" w:themeTint="67" w:sz="4" w:space="0"/>
      </w:tblBorders>
    </w:tblPr>
    <w:tblStylePr w:type="firstRow">
      <w:rPr>
        <w:b/>
        <w:color w:val="404040"/>
      </w:rPr>
      <w:tblPr/>
      <w:tcPr>
        <w:tcBorders>
          <w:bottom w:val="single" w:color="4BD55E"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83E28F" w:themeColor="accent3" w:themeTint="67" w:sz="4" w:space="0"/>
          <w:left w:val="single" w:color="83E28F" w:themeColor="accent3" w:themeTint="67" w:sz="4" w:space="0"/>
          <w:bottom w:val="single" w:color="83E28F" w:themeColor="accent3" w:themeTint="67" w:sz="4" w:space="0"/>
          <w:right w:val="single" w:color="83E28F" w:themeColor="accent3" w:themeTint="67" w:sz="4" w:space="0"/>
        </w:tcBorders>
      </w:tcPr>
    </w:tblStylePr>
  </w:style>
  <w:style w:type="table" w:styleId="GridTable1Light-Accent4" w:customStyle="1">
    <w:name w:val="Grid Table 1 Light - Accent 4"/>
    <w:basedOn w:val="TableauNormal"/>
    <w:uiPriority w:val="99"/>
    <w:pPr>
      <w:spacing w:after="0" w:line="240" w:lineRule="auto"/>
    </w:pPr>
    <w:tblPr>
      <w:tblStyleRowBandSize w:val="1"/>
      <w:tblStyleColBandSize w:val="1"/>
      <w:tblBorders>
        <w:top w:val="single" w:color="94DBF7" w:themeColor="accent4" w:themeTint="67" w:sz="4" w:space="0"/>
        <w:left w:val="single" w:color="94DBF7" w:themeColor="accent4" w:themeTint="67" w:sz="4" w:space="0"/>
        <w:bottom w:val="single" w:color="94DBF7" w:themeColor="accent4" w:themeTint="67" w:sz="4" w:space="0"/>
        <w:right w:val="single" w:color="94DBF7" w:themeColor="accent4" w:themeTint="67" w:sz="4" w:space="0"/>
        <w:insideH w:val="single" w:color="94DBF7" w:themeColor="accent4" w:themeTint="67" w:sz="4" w:space="0"/>
        <w:insideV w:val="single" w:color="94DBF7" w:themeColor="accent4" w:themeTint="67" w:sz="4" w:space="0"/>
      </w:tblBorders>
    </w:tblPr>
    <w:tblStylePr w:type="firstRow">
      <w:rPr>
        <w:b/>
        <w:color w:val="404040"/>
      </w:rPr>
      <w:tblPr/>
      <w:tcPr>
        <w:tcBorders>
          <w:bottom w:val="single" w:color="64CCF4"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94DBF7" w:themeColor="accent4" w:themeTint="67" w:sz="4" w:space="0"/>
          <w:left w:val="single" w:color="94DBF7" w:themeColor="accent4" w:themeTint="67" w:sz="4" w:space="0"/>
          <w:bottom w:val="single" w:color="94DBF7" w:themeColor="accent4" w:themeTint="67" w:sz="4" w:space="0"/>
          <w:right w:val="single" w:color="94DBF7" w:themeColor="accent4" w:themeTint="67" w:sz="4" w:space="0"/>
        </w:tcBorders>
      </w:tcPr>
    </w:tblStylePr>
  </w:style>
  <w:style w:type="table" w:styleId="GridTable1Light-Accent5" w:customStyle="1">
    <w:name w:val="Grid Table 1 Light - Accent 5"/>
    <w:basedOn w:val="TableauNormal"/>
    <w:uiPriority w:val="99"/>
    <w:pPr>
      <w:spacing w:after="0" w:line="240" w:lineRule="auto"/>
    </w:pPr>
    <w:tblPr>
      <w:tblStyleRowBandSize w:val="1"/>
      <w:tblStyleColBandSize w:val="1"/>
      <w:tblBorders>
        <w:top w:val="single" w:color="E49DDC" w:themeColor="accent5" w:themeTint="67" w:sz="4" w:space="0"/>
        <w:left w:val="single" w:color="E49DDC" w:themeColor="accent5" w:themeTint="67" w:sz="4" w:space="0"/>
        <w:bottom w:val="single" w:color="E49DDC" w:themeColor="accent5" w:themeTint="67" w:sz="4" w:space="0"/>
        <w:right w:val="single" w:color="E49DDC" w:themeColor="accent5" w:themeTint="67" w:sz="4" w:space="0"/>
        <w:insideH w:val="single" w:color="E49DDC" w:themeColor="accent5" w:themeTint="67" w:sz="4" w:space="0"/>
        <w:insideV w:val="single" w:color="E49DDC" w:themeColor="accent5" w:themeTint="67" w:sz="4" w:space="0"/>
      </w:tblBorders>
    </w:tblPr>
    <w:tblStylePr w:type="firstRow">
      <w:rPr>
        <w:b/>
        <w:color w:val="404040"/>
      </w:rPr>
      <w:tblPr/>
      <w:tcPr>
        <w:tcBorders>
          <w:bottom w:val="single" w:color="D971CD"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E49DDC" w:themeColor="accent5" w:themeTint="67" w:sz="4" w:space="0"/>
          <w:left w:val="single" w:color="E49DDC" w:themeColor="accent5" w:themeTint="67" w:sz="4" w:space="0"/>
          <w:bottom w:val="single" w:color="E49DDC" w:themeColor="accent5" w:themeTint="67" w:sz="4" w:space="0"/>
          <w:right w:val="single" w:color="E49DDC" w:themeColor="accent5" w:themeTint="67" w:sz="4" w:space="0"/>
        </w:tcBorders>
      </w:tcPr>
    </w:tblStylePr>
  </w:style>
  <w:style w:type="table" w:styleId="GridTable1Light-Accent6" w:customStyle="1">
    <w:name w:val="Grid Table 1 Light - Accent 6"/>
    <w:basedOn w:val="TableauNormal"/>
    <w:uiPriority w:val="99"/>
    <w:pPr>
      <w:spacing w:after="0" w:line="240" w:lineRule="auto"/>
    </w:pPr>
    <w:tblPr>
      <w:tblStyleRowBandSize w:val="1"/>
      <w:tblStyleColBandSize w:val="1"/>
      <w:tblBorders>
        <w:top w:val="single" w:color="B2E5A0" w:themeColor="accent6" w:themeTint="67" w:sz="4" w:space="0"/>
        <w:left w:val="single" w:color="B2E5A0" w:themeColor="accent6" w:themeTint="67" w:sz="4" w:space="0"/>
        <w:bottom w:val="single" w:color="B2E5A0" w:themeColor="accent6" w:themeTint="67" w:sz="4" w:space="0"/>
        <w:right w:val="single" w:color="B2E5A0" w:themeColor="accent6" w:themeTint="67" w:sz="4" w:space="0"/>
        <w:insideH w:val="single" w:color="B2E5A0" w:themeColor="accent6" w:themeTint="67" w:sz="4" w:space="0"/>
        <w:insideV w:val="single" w:color="B2E5A0" w:themeColor="accent6" w:themeTint="67" w:sz="4" w:space="0"/>
      </w:tblBorders>
    </w:tblPr>
    <w:tblStylePr w:type="firstRow">
      <w:rPr>
        <w:b/>
        <w:color w:val="404040"/>
      </w:rPr>
      <w:tblPr/>
      <w:tcPr>
        <w:tcBorders>
          <w:bottom w:val="single" w:color="90D976"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B2E5A0" w:themeColor="accent6" w:themeTint="67" w:sz="4" w:space="0"/>
          <w:left w:val="single" w:color="B2E5A0" w:themeColor="accent6" w:themeTint="67" w:sz="4" w:space="0"/>
          <w:bottom w:val="single" w:color="B2E5A0" w:themeColor="accent6" w:themeTint="67" w:sz="4" w:space="0"/>
          <w:right w:val="single" w:color="B2E5A0" w:themeColor="accent6" w:themeTint="67" w:sz="4" w:space="0"/>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firstRow">
      <w:rPr>
        <w:b/>
        <w:color w:val="404040"/>
      </w:rPr>
      <w:tblPr/>
      <w:tcPr>
        <w:tcBorders>
          <w:top w:val="none" w:color="000000" w:sz="4" w:space="0"/>
          <w:left w:val="none" w:color="000000" w:sz="4" w:space="0"/>
          <w:bottom w:val="single" w:color="6A6A6A" w:themeColor="text1" w:themeTint="95" w:sz="12" w:space="0"/>
          <w:right w:val="none" w:color="000000" w:sz="4" w:space="0"/>
        </w:tcBorders>
        <w:shd w:val="clear" w:color="FFFFFF" w:fill="auto"/>
      </w:tcPr>
    </w:tblStylePr>
    <w:tblStylePr w:type="lastRow">
      <w:rPr>
        <w:b/>
        <w:color w:val="404040"/>
      </w:rPr>
      <w:tblPr/>
      <w:tcPr>
        <w:tcBorders>
          <w:top w:val="single" w:color="6A6A6A" w:themeColor="text1" w:themeTint="95"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customStyle="1">
    <w:name w:val="Grid Table 2 - Accent 1"/>
    <w:basedOn w:val="TableauNormal"/>
    <w:uiPriority w:val="99"/>
    <w:pPr>
      <w:spacing w:after="0" w:line="240" w:lineRule="auto"/>
    </w:pPr>
    <w:tblPr>
      <w:tblStyleRowBandSize w:val="1"/>
      <w:tblStyleColBandSize w:val="1"/>
      <w:tblBorders>
        <w:bottom w:val="single" w:color="19729B" w:themeColor="accent1" w:themeTint="EA" w:sz="4" w:space="0"/>
        <w:insideH w:val="single" w:color="19729B" w:themeColor="accent1" w:themeTint="EA" w:sz="4" w:space="0"/>
        <w:insideV w:val="single" w:color="19729B" w:themeColor="accent1" w:themeTint="EA" w:sz="4" w:space="0"/>
      </w:tblBorders>
    </w:tblPr>
    <w:tblStylePr w:type="firstRow">
      <w:rPr>
        <w:b/>
        <w:color w:val="404040"/>
      </w:rPr>
      <w:tblPr/>
      <w:tcPr>
        <w:tcBorders>
          <w:top w:val="none" w:color="000000" w:sz="4" w:space="0"/>
          <w:left w:val="none" w:color="000000" w:sz="4" w:space="0"/>
          <w:bottom w:val="single" w:color="19729B" w:themeColor="accent1" w:themeTint="EA" w:sz="12" w:space="0"/>
          <w:right w:val="none" w:color="000000" w:sz="4" w:space="0"/>
        </w:tcBorders>
        <w:shd w:val="clear" w:color="FFFFFF" w:fill="auto"/>
      </w:tcPr>
    </w:tblStylePr>
    <w:tblStylePr w:type="lastRow">
      <w:rPr>
        <w:b/>
        <w:color w:val="404040"/>
      </w:rPr>
      <w:tblPr/>
      <w:tcPr>
        <w:tcBorders>
          <w:top w:val="single" w:color="19729B" w:themeColor="accent1" w:themeTint="EA"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styleId="GridTable2-Accent2" w:customStyle="1">
    <w:name w:val="Grid Table 2 - Accent 2"/>
    <w:basedOn w:val="TableauNormal"/>
    <w:uiPriority w:val="99"/>
    <w:pPr>
      <w:spacing w:after="0" w:line="240" w:lineRule="auto"/>
    </w:pPr>
    <w:tblPr>
      <w:tblStyleRowBandSize w:val="1"/>
      <w:tblStyleColBandSize w:val="1"/>
      <w:tblBorders>
        <w:bottom w:val="single" w:color="F2AA85" w:themeColor="accent2" w:themeTint="97" w:sz="4" w:space="0"/>
        <w:insideH w:val="single" w:color="F2AA85" w:themeColor="accent2" w:themeTint="97" w:sz="4" w:space="0"/>
        <w:insideV w:val="single" w:color="F2AA85" w:themeColor="accent2" w:themeTint="97" w:sz="4" w:space="0"/>
      </w:tblBorders>
    </w:tblPr>
    <w:tblStylePr w:type="firstRow">
      <w:rPr>
        <w:b/>
        <w:color w:val="404040"/>
      </w:rPr>
      <w:tblPr/>
      <w:tcPr>
        <w:tcBorders>
          <w:top w:val="none" w:color="000000" w:sz="4" w:space="0"/>
          <w:left w:val="none" w:color="000000" w:sz="4" w:space="0"/>
          <w:bottom w:val="single" w:color="F2AA85" w:themeColor="accent2" w:themeTint="97" w:sz="12" w:space="0"/>
          <w:right w:val="none" w:color="000000" w:sz="4" w:space="0"/>
        </w:tcBorders>
        <w:shd w:val="clear" w:color="FFFFFF" w:fill="auto"/>
      </w:tcPr>
    </w:tblStylePr>
    <w:tblStylePr w:type="lastRow">
      <w:rPr>
        <w:b/>
        <w:color w:val="404040"/>
      </w:rPr>
      <w:tblPr/>
      <w:tcPr>
        <w:tcBorders>
          <w:top w:val="single" w:color="F2AA85" w:themeColor="accent2" w:themeTint="97"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2-Accent3" w:customStyle="1">
    <w:name w:val="Grid Table 2 - Accent 3"/>
    <w:basedOn w:val="TableauNormal"/>
    <w:uiPriority w:val="99"/>
    <w:pPr>
      <w:spacing w:after="0" w:line="240" w:lineRule="auto"/>
    </w:pPr>
    <w:tblPr>
      <w:tblStyleRowBandSize w:val="1"/>
      <w:tblStyleColBandSize w:val="1"/>
      <w:tblBorders>
        <w:bottom w:val="single" w:color="196C24" w:themeColor="accent3" w:themeTint="FE" w:sz="4" w:space="0"/>
        <w:insideH w:val="single" w:color="196C24" w:themeColor="accent3" w:themeTint="FE" w:sz="4" w:space="0"/>
        <w:insideV w:val="single" w:color="196C24" w:themeColor="accent3" w:themeTint="FE" w:sz="4" w:space="0"/>
      </w:tblBorders>
    </w:tblPr>
    <w:tblStylePr w:type="firstRow">
      <w:rPr>
        <w:b/>
        <w:color w:val="404040"/>
      </w:rPr>
      <w:tblPr/>
      <w:tcPr>
        <w:tcBorders>
          <w:top w:val="none" w:color="000000" w:sz="4" w:space="0"/>
          <w:left w:val="none" w:color="000000" w:sz="4" w:space="0"/>
          <w:bottom w:val="single" w:color="196C24" w:themeColor="accent3" w:themeTint="FE" w:sz="12" w:space="0"/>
          <w:right w:val="none" w:color="000000" w:sz="4" w:space="0"/>
        </w:tcBorders>
        <w:shd w:val="clear" w:color="FFFFFF" w:fill="auto"/>
      </w:tcPr>
    </w:tblStylePr>
    <w:tblStylePr w:type="lastRow">
      <w:rPr>
        <w:b/>
        <w:color w:val="404040"/>
      </w:rPr>
      <w:tblPr/>
      <w:tcPr>
        <w:tcBorders>
          <w:top w:val="single" w:color="196C24" w:themeColor="accent3" w:themeTint="FE"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2-Accent4" w:customStyle="1">
    <w:name w:val="Grid Table 2 - Accent 4"/>
    <w:basedOn w:val="TableauNormal"/>
    <w:uiPriority w:val="99"/>
    <w:pPr>
      <w:spacing w:after="0" w:line="240" w:lineRule="auto"/>
    </w:pPr>
    <w:tblPr>
      <w:tblStyleRowBandSize w:val="1"/>
      <w:tblStyleColBandSize w:val="1"/>
      <w:tblBorders>
        <w:bottom w:val="single" w:color="5FCAF3" w:themeColor="accent4" w:themeTint="9A" w:sz="4" w:space="0"/>
        <w:insideH w:val="single" w:color="5FCAF3" w:themeColor="accent4" w:themeTint="9A" w:sz="4" w:space="0"/>
        <w:insideV w:val="single" w:color="5FCAF3" w:themeColor="accent4" w:themeTint="9A" w:sz="4" w:space="0"/>
      </w:tblBorders>
    </w:tblPr>
    <w:tblStylePr w:type="firstRow">
      <w:rPr>
        <w:b/>
        <w:color w:val="404040"/>
      </w:rPr>
      <w:tblPr/>
      <w:tcPr>
        <w:tcBorders>
          <w:top w:val="none" w:color="000000" w:sz="4" w:space="0"/>
          <w:left w:val="none" w:color="000000" w:sz="4" w:space="0"/>
          <w:bottom w:val="single" w:color="5FCAF3" w:themeColor="accent4" w:themeTint="9A" w:sz="12" w:space="0"/>
          <w:right w:val="none" w:color="000000" w:sz="4" w:space="0"/>
        </w:tcBorders>
        <w:shd w:val="clear" w:color="FFFFFF" w:fill="auto"/>
      </w:tcPr>
    </w:tblStylePr>
    <w:tblStylePr w:type="lastRow">
      <w:rPr>
        <w:b/>
        <w:color w:val="404040"/>
      </w:rPr>
      <w:tblPr/>
      <w:tcPr>
        <w:tcBorders>
          <w:top w:val="single" w:color="5FCAF3" w:themeColor="accent4" w:themeTint="9A"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2-Accent5" w:customStyle="1">
    <w:name w:val="Grid Table 2 - Accent 5"/>
    <w:basedOn w:val="TableauNormal"/>
    <w:uiPriority w:val="99"/>
    <w:pPr>
      <w:spacing w:after="0" w:line="240" w:lineRule="auto"/>
    </w:pPr>
    <w:tblPr>
      <w:tblStyleRowBandSize w:val="1"/>
      <w:tblStyleColBandSize w:val="1"/>
      <w:tblBorders>
        <w:bottom w:val="single" w:color="A02B93" w:themeColor="accent5" w:sz="4" w:space="0"/>
        <w:insideH w:val="single" w:color="A02B93" w:themeColor="accent5" w:sz="4" w:space="0"/>
        <w:insideV w:val="single" w:color="A02B93" w:themeColor="accent5" w:sz="4" w:space="0"/>
      </w:tblBorders>
    </w:tblPr>
    <w:tblStylePr w:type="firstRow">
      <w:rPr>
        <w:b/>
        <w:color w:val="404040"/>
      </w:rPr>
      <w:tblPr/>
      <w:tcPr>
        <w:tcBorders>
          <w:top w:val="none" w:color="000000" w:sz="4" w:space="0"/>
          <w:left w:val="none" w:color="000000" w:sz="4" w:space="0"/>
          <w:bottom w:val="single" w:color="A02B93" w:themeColor="accent5" w:sz="12" w:space="0"/>
          <w:right w:val="none" w:color="000000" w:sz="4" w:space="0"/>
        </w:tcBorders>
        <w:shd w:val="clear" w:color="FFFFFF" w:fill="auto"/>
      </w:tcPr>
    </w:tblStylePr>
    <w:tblStylePr w:type="lastRow">
      <w:rPr>
        <w:b/>
        <w:color w:val="404040"/>
      </w:rPr>
      <w:tblPr/>
      <w:tcPr>
        <w:tcBorders>
          <w:top w:val="single" w:color="A02B93" w:themeColor="accent5"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2-Accent6" w:customStyle="1">
    <w:name w:val="Grid Table 2 - Accent 6"/>
    <w:basedOn w:val="TableauNormal"/>
    <w:uiPriority w:val="99"/>
    <w:pPr>
      <w:spacing w:after="0" w:line="240" w:lineRule="auto"/>
    </w:pPr>
    <w:tblPr>
      <w:tblStyleRowBandSize w:val="1"/>
      <w:tblStyleColBandSize w:val="1"/>
      <w:tblBorders>
        <w:bottom w:val="single" w:color="4EA72E" w:themeColor="accent6" w:sz="4" w:space="0"/>
        <w:insideH w:val="single" w:color="4EA72E" w:themeColor="accent6" w:sz="4" w:space="0"/>
        <w:insideV w:val="single" w:color="4EA72E" w:themeColor="accent6" w:sz="4" w:space="0"/>
      </w:tblBorders>
    </w:tblPr>
    <w:tblStylePr w:type="firstRow">
      <w:rPr>
        <w:b/>
        <w:color w:val="404040"/>
      </w:rPr>
      <w:tblPr/>
      <w:tcPr>
        <w:tcBorders>
          <w:top w:val="none" w:color="000000" w:sz="4" w:space="0"/>
          <w:left w:val="none" w:color="000000" w:sz="4" w:space="0"/>
          <w:bottom w:val="single" w:color="4EA72E" w:themeColor="accent6" w:sz="12" w:space="0"/>
          <w:right w:val="none" w:color="000000" w:sz="4" w:space="0"/>
        </w:tcBorders>
        <w:shd w:val="clear" w:color="FFFFFF" w:fill="auto"/>
      </w:tcPr>
    </w:tblStylePr>
    <w:tblStylePr w:type="lastRow">
      <w:rPr>
        <w:b/>
        <w:color w:val="404040"/>
      </w:rPr>
      <w:tblPr/>
      <w:tcPr>
        <w:tcBorders>
          <w:top w:val="single" w:color="4EA72E" w:themeColor="accent6"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customStyle="1">
    <w:name w:val="Grid Table 3 - Accent 1"/>
    <w:basedOn w:val="TableauNormal"/>
    <w:uiPriority w:val="99"/>
    <w:pPr>
      <w:spacing w:after="0" w:line="240" w:lineRule="auto"/>
    </w:pPr>
    <w:tblPr>
      <w:tblStyleRowBandSize w:val="1"/>
      <w:tblStyleColBandSize w:val="1"/>
      <w:tblBorders>
        <w:bottom w:val="single" w:color="19729B" w:themeColor="accent1" w:themeTint="EA" w:sz="4" w:space="0"/>
        <w:insideH w:val="single" w:color="19729B" w:themeColor="accent1" w:themeTint="EA" w:sz="4" w:space="0"/>
        <w:insideV w:val="single" w:color="19729B" w:themeColor="accent1" w:themeTint="EA"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styleId="GridTable3-Accent2" w:customStyle="1">
    <w:name w:val="Grid Table 3 - Accent 2"/>
    <w:basedOn w:val="TableauNormal"/>
    <w:uiPriority w:val="99"/>
    <w:pPr>
      <w:spacing w:after="0" w:line="240" w:lineRule="auto"/>
    </w:pPr>
    <w:tblPr>
      <w:tblStyleRowBandSize w:val="1"/>
      <w:tblStyleColBandSize w:val="1"/>
      <w:tblBorders>
        <w:bottom w:val="single" w:color="F2AA85" w:themeColor="accent2" w:themeTint="97" w:sz="4" w:space="0"/>
        <w:insideH w:val="single" w:color="F2AA85" w:themeColor="accent2" w:themeTint="97" w:sz="4" w:space="0"/>
        <w:insideV w:val="single" w:color="F2AA85" w:themeColor="accent2" w:themeTint="97"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3-Accent3" w:customStyle="1">
    <w:name w:val="Grid Table 3 - Accent 3"/>
    <w:basedOn w:val="TableauNormal"/>
    <w:uiPriority w:val="99"/>
    <w:pPr>
      <w:spacing w:after="0" w:line="240" w:lineRule="auto"/>
    </w:pPr>
    <w:tblPr>
      <w:tblStyleRowBandSize w:val="1"/>
      <w:tblStyleColBandSize w:val="1"/>
      <w:tblBorders>
        <w:bottom w:val="single" w:color="196C24" w:themeColor="accent3" w:themeTint="FE" w:sz="4" w:space="0"/>
        <w:insideH w:val="single" w:color="196C24" w:themeColor="accent3" w:themeTint="FE" w:sz="4" w:space="0"/>
        <w:insideV w:val="single" w:color="196C24" w:themeColor="accent3" w:themeTint="FE"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3-Accent4" w:customStyle="1">
    <w:name w:val="Grid Table 3 - Accent 4"/>
    <w:basedOn w:val="TableauNormal"/>
    <w:uiPriority w:val="99"/>
    <w:pPr>
      <w:spacing w:after="0" w:line="240" w:lineRule="auto"/>
    </w:pPr>
    <w:tblPr>
      <w:tblStyleRowBandSize w:val="1"/>
      <w:tblStyleColBandSize w:val="1"/>
      <w:tblBorders>
        <w:bottom w:val="single" w:color="5FCAF3" w:themeColor="accent4" w:themeTint="9A" w:sz="4" w:space="0"/>
        <w:insideH w:val="single" w:color="5FCAF3" w:themeColor="accent4" w:themeTint="9A" w:sz="4" w:space="0"/>
        <w:insideV w:val="single" w:color="5FCAF3" w:themeColor="accent4" w:themeTint="9A"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3-Accent5" w:customStyle="1">
    <w:name w:val="Grid Table 3 - Accent 5"/>
    <w:basedOn w:val="TableauNormal"/>
    <w:uiPriority w:val="99"/>
    <w:pPr>
      <w:spacing w:after="0" w:line="240" w:lineRule="auto"/>
    </w:pPr>
    <w:tblPr>
      <w:tblStyleRowBandSize w:val="1"/>
      <w:tblStyleColBandSize w:val="1"/>
      <w:tblBorders>
        <w:bottom w:val="single" w:color="A02B93" w:themeColor="accent5" w:sz="4" w:space="0"/>
        <w:insideH w:val="single" w:color="A02B93" w:themeColor="accent5" w:sz="4" w:space="0"/>
        <w:insideV w:val="single" w:color="A02B93" w:themeColor="accent5"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3-Accent6" w:customStyle="1">
    <w:name w:val="Grid Table 3 - Accent 6"/>
    <w:basedOn w:val="TableauNormal"/>
    <w:uiPriority w:val="99"/>
    <w:pPr>
      <w:spacing w:after="0" w:line="240" w:lineRule="auto"/>
    </w:pPr>
    <w:tblPr>
      <w:tblStyleRowBandSize w:val="1"/>
      <w:tblStyleColBandSize w:val="1"/>
      <w:tblBorders>
        <w:bottom w:val="single" w:color="4EA72E" w:themeColor="accent6" w:sz="4" w:space="0"/>
        <w:insideH w:val="single" w:color="4EA72E" w:themeColor="accent6" w:sz="4" w:space="0"/>
        <w:insideV w:val="single" w:color="4EA72E" w:themeColor="accent6"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firstRow">
      <w:rPr>
        <w:rFonts w:ascii="Arial" w:hAnsi="Arial"/>
        <w:b/>
        <w:color w:val="FFFFFF"/>
        <w:sz w:val="22"/>
      </w:rPr>
      <w:tbl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bl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customStyle="1">
    <w:name w:val="Grid Table 4 - Accent 1"/>
    <w:basedOn w:val="TableauNormal"/>
    <w:uiPriority w:val="59"/>
    <w:pPr>
      <w:spacing w:after="0" w:line="240" w:lineRule="auto"/>
    </w:pPr>
    <w:tblPr>
      <w:tblStyleRowBandSize w:val="1"/>
      <w:tblStyleColBandSize w:val="1"/>
      <w:tblBorders>
        <w:top w:val="single" w:color="50B4E2" w:themeColor="accent1" w:themeTint="90" w:sz="4" w:space="0"/>
        <w:left w:val="single" w:color="50B4E2" w:themeColor="accent1" w:themeTint="90" w:sz="4" w:space="0"/>
        <w:bottom w:val="single" w:color="50B4E2" w:themeColor="accent1" w:themeTint="90" w:sz="4" w:space="0"/>
        <w:right w:val="single" w:color="50B4E2" w:themeColor="accent1" w:themeTint="90" w:sz="4" w:space="0"/>
        <w:insideH w:val="single" w:color="50B4E2" w:themeColor="accent1" w:themeTint="90" w:sz="4" w:space="0"/>
        <w:insideV w:val="single" w:color="50B4E2" w:themeColor="accent1" w:themeTint="90" w:sz="4" w:space="0"/>
      </w:tblBorders>
    </w:tblPr>
    <w:tblStylePr w:type="firstRow">
      <w:rPr>
        <w:rFonts w:ascii="Arial" w:hAnsi="Arial"/>
        <w:b/>
        <w:color w:val="FFFFFF"/>
        <w:sz w:val="22"/>
      </w:rPr>
      <w:tblPr/>
      <w:tcPr>
        <w:tcBorders>
          <w:top w:val="single" w:color="19729B" w:themeColor="accent1" w:themeTint="EA" w:sz="4" w:space="0"/>
          <w:left w:val="single" w:color="19729B" w:themeColor="accent1" w:themeTint="EA" w:sz="4" w:space="0"/>
          <w:bottom w:val="single" w:color="19729B" w:themeColor="accent1" w:themeTint="EA" w:sz="4" w:space="0"/>
          <w:right w:val="single" w:color="19729B" w:themeColor="accent1" w:themeTint="EA" w:sz="4" w:space="0"/>
        </w:tcBorders>
        <w:shd w:val="clear" w:color="19729B" w:themeColor="accent1" w:themeTint="EA" w:fill="19729B" w:themeFill="accent1" w:themeFillTint="EA"/>
      </w:tcPr>
    </w:tblStylePr>
    <w:tblStylePr w:type="lastRow">
      <w:rPr>
        <w:b/>
        <w:color w:val="404040"/>
      </w:rPr>
      <w:tblPr/>
      <w:tcPr>
        <w:tcBorders>
          <w:top w:val="single" w:color="19729B"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styleId="GridTable4-Accent2" w:customStyle="1">
    <w:name w:val="Grid Table 4 - Accent 2"/>
    <w:basedOn w:val="TableauNormal"/>
    <w:uiPriority w:val="59"/>
    <w:pPr>
      <w:spacing w:after="0" w:line="240" w:lineRule="auto"/>
    </w:pPr>
    <w:tblPr>
      <w:tblStyleRowBandSize w:val="1"/>
      <w:tblStyleColBandSize w:val="1"/>
      <w:tblBorders>
        <w:top w:val="single" w:color="F2AE8B" w:themeColor="accent2" w:themeTint="90" w:sz="4" w:space="0"/>
        <w:left w:val="single" w:color="F2AE8B" w:themeColor="accent2" w:themeTint="90" w:sz="4" w:space="0"/>
        <w:bottom w:val="single" w:color="F2AE8B" w:themeColor="accent2" w:themeTint="90" w:sz="4" w:space="0"/>
        <w:right w:val="single" w:color="F2AE8B" w:themeColor="accent2" w:themeTint="90" w:sz="4" w:space="0"/>
        <w:insideH w:val="single" w:color="F2AE8B" w:themeColor="accent2" w:themeTint="90" w:sz="4" w:space="0"/>
        <w:insideV w:val="single" w:color="F2AE8B" w:themeColor="accent2" w:themeTint="90" w:sz="4" w:space="0"/>
      </w:tblBorders>
    </w:tblPr>
    <w:tblStylePr w:type="firstRow">
      <w:rPr>
        <w:rFonts w:ascii="Arial" w:hAnsi="Arial"/>
        <w:b/>
        <w:color w:val="FFFFFF"/>
        <w:sz w:val="22"/>
      </w:rPr>
      <w:tblPr/>
      <w:tcPr>
        <w:tcBorders>
          <w:top w:val="single" w:color="F2AA85" w:themeColor="accent2" w:themeTint="97" w:sz="4" w:space="0"/>
          <w:left w:val="single" w:color="F2AA85" w:themeColor="accent2" w:themeTint="97" w:sz="4" w:space="0"/>
          <w:bottom w:val="single" w:color="F2AA85" w:themeColor="accent2" w:themeTint="97" w:sz="4" w:space="0"/>
          <w:right w:val="single" w:color="F2AA85" w:themeColor="accent2" w:themeTint="97" w:sz="4" w:space="0"/>
        </w:tcBorders>
        <w:shd w:val="clear" w:color="F2AA85" w:themeColor="accent2" w:themeTint="97" w:fill="F2AA85" w:themeFill="accent2" w:themeFillTint="97"/>
      </w:tcPr>
    </w:tblStylePr>
    <w:tblStylePr w:type="lastRow">
      <w:rPr>
        <w:b/>
        <w:color w:val="404040"/>
      </w:rPr>
      <w:tblPr/>
      <w:tcPr>
        <w:tcBorders>
          <w:top w:val="single" w:color="F2AA8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4-Accent3" w:customStyle="1">
    <w:name w:val="Grid Table 4 - Accent 3"/>
    <w:basedOn w:val="TableauNormal"/>
    <w:uiPriority w:val="59"/>
    <w:pPr>
      <w:spacing w:after="0" w:line="240" w:lineRule="auto"/>
    </w:pPr>
    <w:tblPr>
      <w:tblStyleRowBandSize w:val="1"/>
      <w:tblStyleColBandSize w:val="1"/>
      <w:tblBorders>
        <w:top w:val="single" w:color="51D663" w:themeColor="accent3" w:themeTint="90" w:sz="4" w:space="0"/>
        <w:left w:val="single" w:color="51D663" w:themeColor="accent3" w:themeTint="90" w:sz="4" w:space="0"/>
        <w:bottom w:val="single" w:color="51D663" w:themeColor="accent3" w:themeTint="90" w:sz="4" w:space="0"/>
        <w:right w:val="single" w:color="51D663" w:themeColor="accent3" w:themeTint="90" w:sz="4" w:space="0"/>
        <w:insideH w:val="single" w:color="51D663" w:themeColor="accent3" w:themeTint="90" w:sz="4" w:space="0"/>
        <w:insideV w:val="single" w:color="51D663" w:themeColor="accent3" w:themeTint="90" w:sz="4" w:space="0"/>
      </w:tblBorders>
    </w:tblPr>
    <w:tblStylePr w:type="firstRow">
      <w:rPr>
        <w:rFonts w:ascii="Arial" w:hAnsi="Arial"/>
        <w:b/>
        <w:color w:val="FFFFFF"/>
        <w:sz w:val="22"/>
      </w:rPr>
      <w:tblPr/>
      <w:tcPr>
        <w:tcBorders>
          <w:top w:val="single" w:color="196C24" w:themeColor="accent3" w:themeTint="FE" w:sz="4" w:space="0"/>
          <w:left w:val="single" w:color="196C24" w:themeColor="accent3" w:themeTint="FE" w:sz="4" w:space="0"/>
          <w:bottom w:val="single" w:color="196C24" w:themeColor="accent3" w:themeTint="FE" w:sz="4" w:space="0"/>
          <w:right w:val="single" w:color="196C24" w:themeColor="accent3" w:themeTint="FE" w:sz="4" w:space="0"/>
        </w:tcBorders>
        <w:shd w:val="clear" w:color="196C24" w:themeColor="accent3" w:themeTint="FE" w:fill="196C24" w:themeFill="accent3" w:themeFillTint="FE"/>
      </w:tcPr>
    </w:tblStylePr>
    <w:tblStylePr w:type="lastRow">
      <w:rPr>
        <w:b/>
        <w:color w:val="404040"/>
      </w:rPr>
      <w:tblPr/>
      <w:tcPr>
        <w:tcBorders>
          <w:top w:val="single" w:color="196C24"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4-Accent4" w:customStyle="1">
    <w:name w:val="Grid Table 4 - Accent 4"/>
    <w:basedOn w:val="TableauNormal"/>
    <w:uiPriority w:val="59"/>
    <w:pPr>
      <w:spacing w:after="0" w:line="240" w:lineRule="auto"/>
    </w:pPr>
    <w:tblPr>
      <w:tblStyleRowBandSize w:val="1"/>
      <w:tblStyleColBandSize w:val="1"/>
      <w:tblBorders>
        <w:top w:val="single" w:color="6ACDF4" w:themeColor="accent4" w:themeTint="90" w:sz="4" w:space="0"/>
        <w:left w:val="single" w:color="6ACDF4" w:themeColor="accent4" w:themeTint="90" w:sz="4" w:space="0"/>
        <w:bottom w:val="single" w:color="6ACDF4" w:themeColor="accent4" w:themeTint="90" w:sz="4" w:space="0"/>
        <w:right w:val="single" w:color="6ACDF4" w:themeColor="accent4" w:themeTint="90" w:sz="4" w:space="0"/>
        <w:insideH w:val="single" w:color="6ACDF4" w:themeColor="accent4" w:themeTint="90" w:sz="4" w:space="0"/>
        <w:insideV w:val="single" w:color="6ACDF4" w:themeColor="accent4" w:themeTint="90" w:sz="4" w:space="0"/>
      </w:tblBorders>
    </w:tblPr>
    <w:tblStylePr w:type="firstRow">
      <w:rPr>
        <w:rFonts w:ascii="Arial" w:hAnsi="Arial"/>
        <w:b/>
        <w:color w:val="FFFFFF"/>
        <w:sz w:val="22"/>
      </w:rPr>
      <w:tblPr/>
      <w:tcPr>
        <w:tcBorders>
          <w:top w:val="single" w:color="5FCAF3" w:themeColor="accent4" w:themeTint="9A" w:sz="4" w:space="0"/>
          <w:left w:val="single" w:color="5FCAF3" w:themeColor="accent4" w:themeTint="9A" w:sz="4" w:space="0"/>
          <w:bottom w:val="single" w:color="5FCAF3" w:themeColor="accent4" w:themeTint="9A" w:sz="4" w:space="0"/>
          <w:right w:val="single" w:color="5FCAF3" w:themeColor="accent4" w:themeTint="9A" w:sz="4" w:space="0"/>
        </w:tcBorders>
        <w:shd w:val="clear" w:color="5FCAF3" w:themeColor="accent4" w:themeTint="9A" w:fill="5FCAF3" w:themeFill="accent4" w:themeFillTint="9A"/>
      </w:tcPr>
    </w:tblStylePr>
    <w:tblStylePr w:type="lastRow">
      <w:rPr>
        <w:b/>
        <w:color w:val="404040"/>
      </w:rPr>
      <w:tblPr/>
      <w:tcPr>
        <w:tcBorders>
          <w:top w:val="single" w:color="5FCAF3"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4-Accent5" w:customStyle="1">
    <w:name w:val="Grid Table 4 - Accent 5"/>
    <w:basedOn w:val="TableauNormal"/>
    <w:uiPriority w:val="59"/>
    <w:pPr>
      <w:spacing w:after="0" w:line="240" w:lineRule="auto"/>
    </w:pPr>
    <w:tblPr>
      <w:tblStyleRowBandSize w:val="1"/>
      <w:tblStyleColBandSize w:val="1"/>
      <w:tblBorders>
        <w:top w:val="single" w:color="DA76CE" w:themeColor="accent5" w:themeTint="90" w:sz="4" w:space="0"/>
        <w:left w:val="single" w:color="DA76CE" w:themeColor="accent5" w:themeTint="90" w:sz="4" w:space="0"/>
        <w:bottom w:val="single" w:color="DA76CE" w:themeColor="accent5" w:themeTint="90" w:sz="4" w:space="0"/>
        <w:right w:val="single" w:color="DA76CE" w:themeColor="accent5" w:themeTint="90" w:sz="4" w:space="0"/>
        <w:insideH w:val="single" w:color="DA76CE" w:themeColor="accent5" w:themeTint="90" w:sz="4" w:space="0"/>
        <w:insideV w:val="single" w:color="DA76CE" w:themeColor="accent5" w:themeTint="90" w:sz="4" w:space="0"/>
      </w:tblBorders>
    </w:tblPr>
    <w:tblStylePr w:type="firstRow">
      <w:rPr>
        <w:rFonts w:ascii="Arial" w:hAnsi="Arial"/>
        <w:b/>
        <w:color w:val="FFFFFF"/>
        <w:sz w:val="22"/>
      </w:rPr>
      <w:tblPr/>
      <w:tcPr>
        <w:tcBorders>
          <w:top w:val="single" w:color="A02B93" w:themeColor="accent5" w:sz="4" w:space="0"/>
          <w:left w:val="single" w:color="A02B93" w:themeColor="accent5" w:sz="4" w:space="0"/>
          <w:bottom w:val="single" w:color="A02B93" w:themeColor="accent5" w:sz="4" w:space="0"/>
          <w:right w:val="single" w:color="A02B93" w:themeColor="accent5" w:sz="4" w:space="0"/>
        </w:tcBorders>
        <w:shd w:val="clear" w:color="A02B93" w:themeColor="accent5" w:fill="A02B93" w:themeFill="accent5"/>
      </w:tcPr>
    </w:tblStylePr>
    <w:tblStylePr w:type="lastRow">
      <w:rPr>
        <w:b/>
        <w:color w:val="404040"/>
      </w:rPr>
      <w:tblPr/>
      <w:tcPr>
        <w:tcBorders>
          <w:top w:val="single" w:color="A02B93"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4-Accent6" w:customStyle="1">
    <w:name w:val="Grid Table 4 - Accent 6"/>
    <w:basedOn w:val="TableauNormal"/>
    <w:uiPriority w:val="59"/>
    <w:pPr>
      <w:spacing w:after="0" w:line="240" w:lineRule="auto"/>
    </w:pPr>
    <w:tblPr>
      <w:tblStyleRowBandSize w:val="1"/>
      <w:tblStyleColBandSize w:val="1"/>
      <w:tblBorders>
        <w:top w:val="single" w:color="94DA7B" w:themeColor="accent6" w:themeTint="90" w:sz="4" w:space="0"/>
        <w:left w:val="single" w:color="94DA7B" w:themeColor="accent6" w:themeTint="90" w:sz="4" w:space="0"/>
        <w:bottom w:val="single" w:color="94DA7B" w:themeColor="accent6" w:themeTint="90" w:sz="4" w:space="0"/>
        <w:right w:val="single" w:color="94DA7B" w:themeColor="accent6" w:themeTint="90" w:sz="4" w:space="0"/>
        <w:insideH w:val="single" w:color="94DA7B" w:themeColor="accent6" w:themeTint="90" w:sz="4" w:space="0"/>
        <w:insideV w:val="single" w:color="94DA7B" w:themeColor="accent6" w:themeTint="90" w:sz="4" w:space="0"/>
      </w:tblBorders>
    </w:tblPr>
    <w:tblStylePr w:type="firstRow">
      <w:rPr>
        <w:rFonts w:ascii="Arial" w:hAnsi="Arial"/>
        <w:b/>
        <w:color w:val="FFFFFF"/>
        <w:sz w:val="22"/>
      </w:rPr>
      <w:tblPr/>
      <w:tcPr>
        <w:tcBorders>
          <w:top w:val="single" w:color="4EA72E" w:themeColor="accent6" w:sz="4" w:space="0"/>
          <w:left w:val="single" w:color="4EA72E" w:themeColor="accent6" w:sz="4" w:space="0"/>
          <w:bottom w:val="single" w:color="4EA72E" w:themeColor="accent6" w:sz="4" w:space="0"/>
          <w:right w:val="single" w:color="4EA72E" w:themeColor="accent6" w:sz="4" w:space="0"/>
        </w:tcBorders>
        <w:shd w:val="clear" w:color="4EA72E" w:themeColor="accent6" w:fill="4EA72E" w:themeFill="accent6"/>
      </w:tcPr>
    </w:tblStylePr>
    <w:tblStylePr w:type="lastRow">
      <w:rPr>
        <w:b/>
        <w:color w:val="404040"/>
      </w:rPr>
      <w:tblPr/>
      <w:tcPr>
        <w:tcBorders>
          <w:top w:val="single" w:color="4EA72E"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styleId="GridTable5Dark-Accent1" w:customStyle="1">
    <w:name w:val="Grid Table 5 Dark- Accent 1"/>
    <w:basedOn w:val="TableauNormal"/>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color="FFFFFF" w:themeColor="light1" w:sz="4" w:space="0"/>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styleId="GridTable5Dark-Accent2" w:customStyle="1">
    <w:name w:val="Grid Table 5 Dark - Accent 2"/>
    <w:basedOn w:val="TableauNormal"/>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color="FFFFFF" w:themeColor="light1" w:sz="4" w:space="0"/>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styleId="GridTable5Dark-Accent3" w:customStyle="1">
    <w:name w:val="Grid Table 5 Dark - Accent 3"/>
    <w:basedOn w:val="TableauNormal"/>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color="FFFFFF" w:themeColor="light1" w:sz="4" w:space="0"/>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styleId="GridTable5Dark-Accent4" w:customStyle="1">
    <w:name w:val="Grid Table 5 Dark- Accent 4"/>
    <w:basedOn w:val="TableauNormal"/>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color="FFFFFF" w:themeColor="light1" w:sz="4" w:space="0"/>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styleId="GridTable5Dark-Accent5" w:customStyle="1">
    <w:name w:val="Grid Table 5 Dark - Accent 5"/>
    <w:basedOn w:val="TableauNormal"/>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color="FFFFFF" w:themeColor="light1" w:sz="4" w:space="0"/>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styleId="GridTable5Dark-Accent6" w:customStyle="1">
    <w:name w:val="Grid Table 5 Dark - Accent 6"/>
    <w:basedOn w:val="TableauNormal"/>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color="FFFFFF" w:themeColor="light1" w:sz="4" w:space="0"/>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firstRow">
      <w:rPr>
        <w:b/>
        <w:color w:val="7F7F7F" w:themeColor="text1" w:themeTint="80" w:themeShade="95"/>
      </w:rPr>
      <w:tblPr/>
      <w:tcPr>
        <w:tcBorders>
          <w:bottom w:val="single" w:color="7F7F7F" w:themeColor="text1" w:themeTint="80" w:sz="12" w:space="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rful-Accent1" w:customStyle="1">
    <w:name w:val="Grid Table 6 Colorful - Accent 1"/>
    <w:basedOn w:val="TableauNormal"/>
    <w:uiPriority w:val="99"/>
    <w:pPr>
      <w:spacing w:after="0" w:line="240" w:lineRule="auto"/>
    </w:pPr>
    <w:tblPr>
      <w:tblStyleRowBandSize w:val="1"/>
      <w:tblStyleColBandSize w:val="1"/>
      <w:tblBorders>
        <w:top w:val="single" w:color="63BDE6" w:themeColor="accent1" w:themeTint="80" w:sz="4" w:space="0"/>
        <w:left w:val="single" w:color="63BDE6" w:themeColor="accent1" w:themeTint="80" w:sz="4" w:space="0"/>
        <w:bottom w:val="single" w:color="63BDE6" w:themeColor="accent1" w:themeTint="80" w:sz="4" w:space="0"/>
        <w:right w:val="single" w:color="63BDE6" w:themeColor="accent1" w:themeTint="80" w:sz="4" w:space="0"/>
        <w:insideH w:val="single" w:color="63BDE6" w:themeColor="accent1" w:themeTint="80" w:sz="4" w:space="0"/>
        <w:insideV w:val="single" w:color="63BDE6" w:themeColor="accent1" w:themeTint="80" w:sz="4" w:space="0"/>
      </w:tblBorders>
    </w:tblPr>
    <w:tblStylePr w:type="firstRow">
      <w:rPr>
        <w:b/>
        <w:color w:val="63BDE6" w:themeColor="accent1" w:themeTint="80" w:themeShade="95"/>
      </w:rPr>
      <w:tblPr/>
      <w:tcPr>
        <w:tcBorders>
          <w:bottom w:val="single" w:color="63BDE6" w:themeColor="accent1" w:themeTint="80" w:sz="12" w:space="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styleId="GridTable6Colorful-Accent2" w:customStyle="1">
    <w:name w:val="Grid Table 6 Colorful - Accent 2"/>
    <w:basedOn w:val="TableauNormal"/>
    <w:uiPriority w:val="99"/>
    <w:pPr>
      <w:spacing w:after="0" w:line="240" w:lineRule="auto"/>
    </w:pPr>
    <w:tblPr>
      <w:tblStyleRowBandSize w:val="1"/>
      <w:tblStyleColBandSize w:val="1"/>
      <w:tblBorders>
        <w:top w:val="single" w:color="F2AA85" w:themeColor="accent2" w:themeTint="97" w:sz="4" w:space="0"/>
        <w:left w:val="single" w:color="F2AA85" w:themeColor="accent2" w:themeTint="97" w:sz="4" w:space="0"/>
        <w:bottom w:val="single" w:color="F2AA85" w:themeColor="accent2" w:themeTint="97" w:sz="4" w:space="0"/>
        <w:right w:val="single" w:color="F2AA85" w:themeColor="accent2" w:themeTint="97" w:sz="4" w:space="0"/>
        <w:insideH w:val="single" w:color="F2AA85" w:themeColor="accent2" w:themeTint="97" w:sz="4" w:space="0"/>
        <w:insideV w:val="single" w:color="F2AA85" w:themeColor="accent2" w:themeTint="97" w:sz="4" w:space="0"/>
      </w:tblBorders>
    </w:tblPr>
    <w:tblStylePr w:type="firstRow">
      <w:rPr>
        <w:b/>
        <w:color w:val="F2AA85" w:themeColor="accent2" w:themeTint="97" w:themeShade="95"/>
      </w:rPr>
      <w:tblPr/>
      <w:tcPr>
        <w:tcBorders>
          <w:bottom w:val="single" w:color="F2AA85" w:themeColor="accent2" w:themeTint="97" w:sz="12" w:space="0"/>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styleId="GridTable6Colorful-Accent3" w:customStyle="1">
    <w:name w:val="Grid Table 6 Colorful - Accent 3"/>
    <w:basedOn w:val="TableauNormal"/>
    <w:uiPriority w:val="99"/>
    <w:pPr>
      <w:spacing w:after="0" w:line="240" w:lineRule="auto"/>
    </w:pPr>
    <w:tblPr>
      <w:tblStyleRowBandSize w:val="1"/>
      <w:tblStyleColBandSize w:val="1"/>
      <w:tblBorders>
        <w:top w:val="single" w:color="196C24" w:themeColor="accent3" w:themeTint="FE" w:sz="4" w:space="0"/>
        <w:left w:val="single" w:color="196C24" w:themeColor="accent3" w:themeTint="FE" w:sz="4" w:space="0"/>
        <w:bottom w:val="single" w:color="196C24" w:themeColor="accent3" w:themeTint="FE" w:sz="4" w:space="0"/>
        <w:right w:val="single" w:color="196C24" w:themeColor="accent3" w:themeTint="FE" w:sz="4" w:space="0"/>
        <w:insideH w:val="single" w:color="196C24" w:themeColor="accent3" w:themeTint="FE" w:sz="4" w:space="0"/>
        <w:insideV w:val="single" w:color="196C24" w:themeColor="accent3" w:themeTint="FE" w:sz="4" w:space="0"/>
      </w:tblBorders>
    </w:tblPr>
    <w:tblStylePr w:type="firstRow">
      <w:rPr>
        <w:b/>
        <w:color w:val="196C24" w:themeColor="accent3" w:themeTint="FE" w:themeShade="95"/>
      </w:rPr>
      <w:tblPr/>
      <w:tcPr>
        <w:tcBorders>
          <w:bottom w:val="single" w:color="196C24" w:themeColor="accent3" w:themeTint="FE" w:sz="12" w:space="0"/>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styleId="GridTable6Colorful-Accent4" w:customStyle="1">
    <w:name w:val="Grid Table 6 Colorful - Accent 4"/>
    <w:basedOn w:val="TableauNormal"/>
    <w:uiPriority w:val="99"/>
    <w:pPr>
      <w:spacing w:after="0" w:line="240" w:lineRule="auto"/>
    </w:pPr>
    <w:tblPr>
      <w:tblStyleRowBandSize w:val="1"/>
      <w:tblStyleColBandSize w:val="1"/>
      <w:tblBorders>
        <w:top w:val="single" w:color="5FCAF3" w:themeColor="accent4" w:themeTint="9A" w:sz="4" w:space="0"/>
        <w:left w:val="single" w:color="5FCAF3" w:themeColor="accent4" w:themeTint="9A" w:sz="4" w:space="0"/>
        <w:bottom w:val="single" w:color="5FCAF3" w:themeColor="accent4" w:themeTint="9A" w:sz="4" w:space="0"/>
        <w:right w:val="single" w:color="5FCAF3" w:themeColor="accent4" w:themeTint="9A" w:sz="4" w:space="0"/>
        <w:insideH w:val="single" w:color="5FCAF3" w:themeColor="accent4" w:themeTint="9A" w:sz="4" w:space="0"/>
        <w:insideV w:val="single" w:color="5FCAF3" w:themeColor="accent4" w:themeTint="9A" w:sz="4" w:space="0"/>
      </w:tblBorders>
    </w:tblPr>
    <w:tblStylePr w:type="firstRow">
      <w:rPr>
        <w:b/>
        <w:color w:val="5FCAF3" w:themeColor="accent4" w:themeTint="9A" w:themeShade="95"/>
      </w:rPr>
      <w:tblPr/>
      <w:tcPr>
        <w:tcBorders>
          <w:bottom w:val="single" w:color="5FCAF3" w:themeColor="accent4" w:themeTint="9A" w:sz="12" w:space="0"/>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styleId="GridTable6Colorful-Accent5" w:customStyle="1">
    <w:name w:val="Grid Table 6 Colorful - Accent 5"/>
    <w:basedOn w:val="TableauNormal"/>
    <w:uiPriority w:val="99"/>
    <w:pPr>
      <w:spacing w:after="0" w:line="240" w:lineRule="auto"/>
    </w:pPr>
    <w:tblPr>
      <w:tblStyleRowBandSize w:val="1"/>
      <w:tblStyleColBandSize w:val="1"/>
      <w:tblBorders>
        <w:top w:val="single" w:color="A02B93" w:themeColor="accent5" w:sz="4" w:space="0"/>
        <w:left w:val="single" w:color="A02B93" w:themeColor="accent5" w:sz="4" w:space="0"/>
        <w:bottom w:val="single" w:color="A02B93" w:themeColor="accent5" w:sz="4" w:space="0"/>
        <w:right w:val="single" w:color="A02B93" w:themeColor="accent5" w:sz="4" w:space="0"/>
        <w:insideH w:val="single" w:color="A02B93" w:themeColor="accent5" w:sz="4" w:space="0"/>
        <w:insideV w:val="single" w:color="A02B93" w:themeColor="accent5" w:sz="4" w:space="0"/>
      </w:tblBorders>
    </w:tblPr>
    <w:tblStylePr w:type="firstRow">
      <w:rPr>
        <w:b/>
        <w:color w:val="5D1955" w:themeColor="accent5" w:themeShade="95"/>
      </w:rPr>
      <w:tblPr/>
      <w:tcPr>
        <w:tcBorders>
          <w:bottom w:val="single" w:color="A02B93" w:themeColor="accent5" w:sz="12" w:space="0"/>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styleId="GridTable6Colorful-Accent6" w:customStyle="1">
    <w:name w:val="Grid Table 6 Colorful - Accent 6"/>
    <w:basedOn w:val="TableauNormal"/>
    <w:uiPriority w:val="99"/>
    <w:pPr>
      <w:spacing w:after="0" w:line="240" w:lineRule="auto"/>
    </w:pPr>
    <w:tblPr>
      <w:tblStyleRowBandSize w:val="1"/>
      <w:tblStyleColBandSize w:val="1"/>
      <w:tblBorders>
        <w:top w:val="single" w:color="4EA72E" w:themeColor="accent6" w:sz="4" w:space="0"/>
        <w:left w:val="single" w:color="4EA72E" w:themeColor="accent6" w:sz="4" w:space="0"/>
        <w:bottom w:val="single" w:color="4EA72E" w:themeColor="accent6" w:sz="4" w:space="0"/>
        <w:right w:val="single" w:color="4EA72E" w:themeColor="accent6" w:sz="4" w:space="0"/>
        <w:insideH w:val="single" w:color="4EA72E" w:themeColor="accent6" w:sz="4" w:space="0"/>
        <w:insideV w:val="single" w:color="4EA72E" w:themeColor="accent6" w:sz="4" w:space="0"/>
      </w:tblBorders>
    </w:tblPr>
    <w:tblStylePr w:type="firstRow">
      <w:rPr>
        <w:b/>
        <w:color w:val="5D1955" w:themeColor="accent5" w:themeShade="95"/>
      </w:rPr>
      <w:tblPr/>
      <w:tcPr>
        <w:tcBorders>
          <w:bottom w:val="single" w:color="4EA72E" w:themeColor="accent6" w:sz="12" w:space="0"/>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firstRow">
      <w:rPr>
        <w:rFonts w:ascii="Arial" w:hAnsi="Arial"/>
        <w:b/>
        <w:color w:val="7F7F7F" w:themeColor="text1" w:themeTint="80" w:themeShade="95"/>
        <w:sz w:val="22"/>
      </w:rPr>
      <w:tblPr/>
      <w:tcPr>
        <w:tcBorders>
          <w:top w:val="none" w:color="000000" w:sz="0" w:space="0"/>
          <w:left w:val="none" w:color="000000" w:sz="0" w:space="0"/>
          <w:bottom w:val="single" w:color="7F7F7F" w:themeColor="text1" w:themeTint="80" w:sz="4" w:space="0"/>
          <w:right w:val="none" w:color="000000" w:sz="0" w:space="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color="7F7F7F" w:themeColor="text1" w:themeTint="80" w:sz="4" w:space="0"/>
          <w:left w:val="none" w:color="000000" w:sz="0" w:space="0"/>
          <w:bottom w:val="none" w:color="000000" w:sz="0" w:space="0"/>
          <w:right w:val="none" w:color="000000" w:sz="0" w:space="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color="000000" w:sz="0" w:space="0"/>
          <w:left w:val="none" w:color="000000" w:sz="0" w:space="0"/>
          <w:bottom w:val="none" w:color="000000" w:sz="0" w:space="0"/>
          <w:right w:val="single" w:color="7F7F7F" w:themeColor="text1" w:themeTint="80" w:sz="4" w:space="0"/>
        </w:tcBorders>
        <w:shd w:val="clear" w:color="FFFFFF" w:fill="auto"/>
      </w:tcPr>
    </w:tblStylePr>
    <w:tblStylePr w:type="lastCol">
      <w:rPr>
        <w:rFonts w:ascii="Arial" w:hAnsi="Arial"/>
        <w:i/>
        <w:color w:val="7F7F7F" w:themeColor="text1" w:themeTint="80" w:themeShade="95"/>
        <w:sz w:val="22"/>
      </w:rPr>
      <w:tblPr/>
      <w:tcPr>
        <w:tcBorders>
          <w:top w:val="none" w:color="000000" w:sz="0" w:space="0"/>
          <w:left w:val="single" w:color="7F7F7F" w:themeColor="text1" w:themeTint="80" w:sz="4" w:space="0"/>
          <w:bottom w:val="none" w:color="000000" w:sz="0" w:space="0"/>
          <w:right w:val="none" w:color="000000" w:sz="0" w:space="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customStyle="1">
    <w:name w:val="Grid Table 7 Colorful - Accent 1"/>
    <w:basedOn w:val="TableauNormal"/>
    <w:uiPriority w:val="99"/>
    <w:pPr>
      <w:spacing w:after="0" w:line="240" w:lineRule="auto"/>
    </w:pPr>
    <w:tblPr>
      <w:tblStyleRowBandSize w:val="1"/>
      <w:tblStyleColBandSize w:val="1"/>
      <w:tblBorders>
        <w:bottom w:val="single" w:color="63BDE6" w:themeColor="accent1" w:themeTint="80" w:sz="4" w:space="0"/>
        <w:right w:val="single" w:color="63BDE6" w:themeColor="accent1" w:themeTint="80" w:sz="4" w:space="0"/>
        <w:insideH w:val="single" w:color="63BDE6" w:themeColor="accent1" w:themeTint="80" w:sz="4" w:space="0"/>
        <w:insideV w:val="single" w:color="63BDE6" w:themeColor="accent1" w:themeTint="80" w:sz="4" w:space="0"/>
      </w:tblBorders>
    </w:tblPr>
    <w:tblStylePr w:type="firstRow">
      <w:rPr>
        <w:rFonts w:ascii="Arial" w:hAnsi="Arial"/>
        <w:b/>
        <w:color w:val="63BDE6" w:themeColor="accent1" w:themeTint="80" w:themeShade="95"/>
        <w:sz w:val="22"/>
      </w:rPr>
      <w:tblPr/>
      <w:tcPr>
        <w:tcBorders>
          <w:top w:val="none" w:color="000000" w:sz="0" w:space="0"/>
          <w:left w:val="none" w:color="000000" w:sz="0" w:space="0"/>
          <w:bottom w:val="single" w:color="63BDE6" w:themeColor="accent1" w:themeTint="80" w:sz="4" w:space="0"/>
          <w:right w:val="none" w:color="000000" w:sz="0" w:space="0"/>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color="63BDE6" w:themeColor="accent1" w:themeTint="80" w:sz="4" w:space="0"/>
          <w:left w:val="none" w:color="000000" w:sz="0" w:space="0"/>
          <w:bottom w:val="none" w:color="000000" w:sz="0" w:space="0"/>
          <w:right w:val="none" w:color="000000" w:sz="0" w:space="0"/>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color="000000" w:sz="0" w:space="0"/>
          <w:left w:val="none" w:color="000000" w:sz="0" w:space="0"/>
          <w:bottom w:val="none" w:color="000000" w:sz="0" w:space="0"/>
          <w:right w:val="single" w:color="63BDE6" w:themeColor="accent1" w:themeTint="80" w:sz="4" w:space="0"/>
        </w:tcBorders>
        <w:shd w:val="clear" w:color="FFFFFF" w:fill="auto"/>
      </w:tcPr>
    </w:tblStylePr>
    <w:tblStylePr w:type="lastCol">
      <w:rPr>
        <w:rFonts w:ascii="Arial" w:hAnsi="Arial"/>
        <w:i/>
        <w:color w:val="63BDE6" w:themeColor="accent1" w:themeTint="80" w:themeShade="95"/>
        <w:sz w:val="22"/>
      </w:rPr>
      <w:tblPr/>
      <w:tcPr>
        <w:tcBorders>
          <w:top w:val="none" w:color="000000" w:sz="0" w:space="0"/>
          <w:left w:val="single" w:color="63BDE6" w:themeColor="accent1" w:themeTint="80" w:sz="4" w:space="0"/>
          <w:bottom w:val="none" w:color="000000" w:sz="0" w:space="0"/>
          <w:right w:val="none" w:color="000000" w:sz="0" w:space="0"/>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styleId="GridTable7Colorful-Accent2" w:customStyle="1">
    <w:name w:val="Grid Table 7 Colorful - Accent 2"/>
    <w:basedOn w:val="TableauNormal"/>
    <w:uiPriority w:val="99"/>
    <w:pPr>
      <w:spacing w:after="0" w:line="240" w:lineRule="auto"/>
    </w:pPr>
    <w:tblPr>
      <w:tblStyleRowBandSize w:val="1"/>
      <w:tblStyleColBandSize w:val="1"/>
      <w:tblBorders>
        <w:bottom w:val="single" w:color="F2AA85" w:themeColor="accent2" w:themeTint="97" w:sz="4" w:space="0"/>
        <w:right w:val="single" w:color="F2AA85" w:themeColor="accent2" w:themeTint="97" w:sz="4" w:space="0"/>
        <w:insideH w:val="single" w:color="F2AA85" w:themeColor="accent2" w:themeTint="97" w:sz="4" w:space="0"/>
        <w:insideV w:val="single" w:color="F2AA85" w:themeColor="accent2" w:themeTint="97" w:sz="4" w:space="0"/>
      </w:tblBorders>
    </w:tblPr>
    <w:tblStylePr w:type="firstRow">
      <w:rPr>
        <w:rFonts w:ascii="Arial" w:hAnsi="Arial"/>
        <w:b/>
        <w:color w:val="F2AA85" w:themeColor="accent2" w:themeTint="97" w:themeShade="95"/>
        <w:sz w:val="22"/>
      </w:rPr>
      <w:tblPr/>
      <w:tcPr>
        <w:tcBorders>
          <w:top w:val="none" w:color="000000" w:sz="0" w:space="0"/>
          <w:left w:val="none" w:color="000000" w:sz="0" w:space="0"/>
          <w:bottom w:val="single" w:color="F2AA85" w:themeColor="accent2" w:themeTint="97" w:sz="4" w:space="0"/>
          <w:right w:val="none" w:color="000000" w:sz="0" w:space="0"/>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color="F2AA85" w:themeColor="accent2" w:themeTint="97" w:sz="4" w:space="0"/>
          <w:left w:val="none" w:color="000000" w:sz="0" w:space="0"/>
          <w:bottom w:val="none" w:color="000000" w:sz="0" w:space="0"/>
          <w:right w:val="none" w:color="000000" w:sz="0" w:space="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color="000000" w:sz="0" w:space="0"/>
          <w:left w:val="none" w:color="000000" w:sz="0" w:space="0"/>
          <w:bottom w:val="none" w:color="000000" w:sz="0" w:space="0"/>
          <w:right w:val="single" w:color="F2AA85" w:themeColor="accent2" w:themeTint="97" w:sz="4" w:space="0"/>
        </w:tcBorders>
        <w:shd w:val="clear" w:color="FFFFFF" w:fill="auto"/>
      </w:tcPr>
    </w:tblStylePr>
    <w:tblStylePr w:type="lastCol">
      <w:rPr>
        <w:rFonts w:ascii="Arial" w:hAnsi="Arial"/>
        <w:i/>
        <w:color w:val="F2AA85" w:themeColor="accent2" w:themeTint="97" w:themeShade="95"/>
        <w:sz w:val="22"/>
      </w:rPr>
      <w:tblPr/>
      <w:tcPr>
        <w:tcBorders>
          <w:top w:val="none" w:color="000000" w:sz="0" w:space="0"/>
          <w:left w:val="single" w:color="F2AA85" w:themeColor="accent2" w:themeTint="97" w:sz="4" w:space="0"/>
          <w:bottom w:val="none" w:color="000000" w:sz="0" w:space="0"/>
          <w:right w:val="none" w:color="000000" w:sz="0" w:space="0"/>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styleId="GridTable7Colorful-Accent3" w:customStyle="1">
    <w:name w:val="Grid Table 7 Colorful - Accent 3"/>
    <w:basedOn w:val="TableauNormal"/>
    <w:uiPriority w:val="99"/>
    <w:pPr>
      <w:spacing w:after="0" w:line="240" w:lineRule="auto"/>
    </w:pPr>
    <w:tblPr>
      <w:tblStyleRowBandSize w:val="1"/>
      <w:tblStyleColBandSize w:val="1"/>
      <w:tblBorders>
        <w:bottom w:val="single" w:color="196C24" w:themeColor="accent3" w:themeTint="FE" w:sz="4" w:space="0"/>
        <w:right w:val="single" w:color="196C24" w:themeColor="accent3" w:themeTint="FE" w:sz="4" w:space="0"/>
        <w:insideH w:val="single" w:color="196C24" w:themeColor="accent3" w:themeTint="FE" w:sz="4" w:space="0"/>
        <w:insideV w:val="single" w:color="196C24" w:themeColor="accent3" w:themeTint="FE" w:sz="4" w:space="0"/>
      </w:tblBorders>
    </w:tblPr>
    <w:tblStylePr w:type="firstRow">
      <w:rPr>
        <w:rFonts w:ascii="Arial" w:hAnsi="Arial"/>
        <w:b/>
        <w:color w:val="196C24" w:themeColor="accent3" w:themeTint="FE" w:themeShade="95"/>
        <w:sz w:val="22"/>
      </w:rPr>
      <w:tblPr/>
      <w:tcPr>
        <w:tcBorders>
          <w:top w:val="none" w:color="000000" w:sz="0" w:space="0"/>
          <w:left w:val="none" w:color="000000" w:sz="0" w:space="0"/>
          <w:bottom w:val="single" w:color="196C24" w:themeColor="accent3" w:themeTint="FE" w:sz="4" w:space="0"/>
          <w:right w:val="none" w:color="000000" w:sz="0" w:space="0"/>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color="196C24" w:themeColor="accent3" w:themeTint="FE" w:sz="4" w:space="0"/>
          <w:left w:val="none" w:color="000000" w:sz="0" w:space="0"/>
          <w:bottom w:val="none" w:color="000000" w:sz="0" w:space="0"/>
          <w:right w:val="none" w:color="000000" w:sz="0" w:space="0"/>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color="000000" w:sz="0" w:space="0"/>
          <w:left w:val="none" w:color="000000" w:sz="0" w:space="0"/>
          <w:bottom w:val="none" w:color="000000" w:sz="0" w:space="0"/>
          <w:right w:val="single" w:color="196C24" w:themeColor="accent3" w:themeTint="FE" w:sz="4" w:space="0"/>
        </w:tcBorders>
        <w:shd w:val="clear" w:color="FFFFFF" w:fill="auto"/>
      </w:tcPr>
    </w:tblStylePr>
    <w:tblStylePr w:type="lastCol">
      <w:rPr>
        <w:rFonts w:ascii="Arial" w:hAnsi="Arial"/>
        <w:i/>
        <w:color w:val="196C24" w:themeColor="accent3" w:themeTint="FE" w:themeShade="95"/>
        <w:sz w:val="22"/>
      </w:rPr>
      <w:tblPr/>
      <w:tcPr>
        <w:tcBorders>
          <w:top w:val="none" w:color="000000" w:sz="0" w:space="0"/>
          <w:left w:val="single" w:color="196C24" w:themeColor="accent3" w:themeTint="FE" w:sz="4" w:space="0"/>
          <w:bottom w:val="none" w:color="000000" w:sz="0" w:space="0"/>
          <w:right w:val="none" w:color="000000" w:sz="0" w:space="0"/>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styleId="GridTable7Colorful-Accent4" w:customStyle="1">
    <w:name w:val="Grid Table 7 Colorful - Accent 4"/>
    <w:basedOn w:val="TableauNormal"/>
    <w:uiPriority w:val="99"/>
    <w:pPr>
      <w:spacing w:after="0" w:line="240" w:lineRule="auto"/>
    </w:pPr>
    <w:tblPr>
      <w:tblStyleRowBandSize w:val="1"/>
      <w:tblStyleColBandSize w:val="1"/>
      <w:tblBorders>
        <w:bottom w:val="single" w:color="5FCAF3" w:themeColor="accent4" w:themeTint="9A" w:sz="4" w:space="0"/>
        <w:right w:val="single" w:color="5FCAF3" w:themeColor="accent4" w:themeTint="9A" w:sz="4" w:space="0"/>
        <w:insideH w:val="single" w:color="5FCAF3" w:themeColor="accent4" w:themeTint="9A" w:sz="4" w:space="0"/>
        <w:insideV w:val="single" w:color="5FCAF3" w:themeColor="accent4" w:themeTint="9A" w:sz="4" w:space="0"/>
      </w:tblBorders>
    </w:tblPr>
    <w:tblStylePr w:type="firstRow">
      <w:rPr>
        <w:rFonts w:ascii="Arial" w:hAnsi="Arial"/>
        <w:b/>
        <w:color w:val="5FCAF3" w:themeColor="accent4" w:themeTint="9A" w:themeShade="95"/>
        <w:sz w:val="22"/>
      </w:rPr>
      <w:tblPr/>
      <w:tcPr>
        <w:tcBorders>
          <w:top w:val="none" w:color="000000" w:sz="0" w:space="0"/>
          <w:left w:val="none" w:color="000000" w:sz="0" w:space="0"/>
          <w:bottom w:val="single" w:color="5FCAF3" w:themeColor="accent4" w:themeTint="9A" w:sz="4" w:space="0"/>
          <w:right w:val="none" w:color="000000" w:sz="0" w:space="0"/>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color="5FCAF3" w:themeColor="accent4" w:themeTint="9A" w:sz="4" w:space="0"/>
          <w:left w:val="none" w:color="000000" w:sz="0" w:space="0"/>
          <w:bottom w:val="none" w:color="000000" w:sz="0" w:space="0"/>
          <w:right w:val="none" w:color="000000" w:sz="0" w:space="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color="000000" w:sz="0" w:space="0"/>
          <w:left w:val="none" w:color="000000" w:sz="0" w:space="0"/>
          <w:bottom w:val="none" w:color="000000" w:sz="0" w:space="0"/>
          <w:right w:val="single" w:color="5FCAF3" w:themeColor="accent4" w:themeTint="9A" w:sz="4" w:space="0"/>
        </w:tcBorders>
        <w:shd w:val="clear" w:color="FFFFFF" w:fill="auto"/>
      </w:tcPr>
    </w:tblStylePr>
    <w:tblStylePr w:type="lastCol">
      <w:rPr>
        <w:rFonts w:ascii="Arial" w:hAnsi="Arial"/>
        <w:i/>
        <w:color w:val="5FCAF3" w:themeColor="accent4" w:themeTint="9A" w:themeShade="95"/>
        <w:sz w:val="22"/>
      </w:rPr>
      <w:tblPr/>
      <w:tcPr>
        <w:tcBorders>
          <w:top w:val="none" w:color="000000" w:sz="0" w:space="0"/>
          <w:left w:val="single" w:color="5FCAF3" w:themeColor="accent4" w:themeTint="9A" w:sz="4" w:space="0"/>
          <w:bottom w:val="none" w:color="000000" w:sz="0" w:space="0"/>
          <w:right w:val="none" w:color="000000" w:sz="0" w:space="0"/>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styleId="GridTable7Colorful-Accent5" w:customStyle="1">
    <w:name w:val="Grid Table 7 Colorful - Accent 5"/>
    <w:basedOn w:val="TableauNormal"/>
    <w:uiPriority w:val="99"/>
    <w:pPr>
      <w:spacing w:after="0" w:line="240" w:lineRule="auto"/>
    </w:pPr>
    <w:tblPr>
      <w:tblStyleRowBandSize w:val="1"/>
      <w:tblStyleColBandSize w:val="1"/>
      <w:tblBorders>
        <w:bottom w:val="single" w:color="DA76CE" w:themeColor="accent5" w:themeTint="90" w:sz="4" w:space="0"/>
        <w:right w:val="single" w:color="DA76CE" w:themeColor="accent5" w:themeTint="90" w:sz="4" w:space="0"/>
        <w:insideH w:val="single" w:color="DA76CE" w:themeColor="accent5" w:themeTint="90" w:sz="4" w:space="0"/>
        <w:insideV w:val="single" w:color="DA76CE" w:themeColor="accent5" w:themeTint="90" w:sz="4" w:space="0"/>
      </w:tblBorders>
    </w:tblPr>
    <w:tblStylePr w:type="firstRow">
      <w:rPr>
        <w:rFonts w:ascii="Arial" w:hAnsi="Arial"/>
        <w:b/>
        <w:color w:val="5D1955" w:themeColor="accent5" w:themeShade="95"/>
        <w:sz w:val="22"/>
      </w:rPr>
      <w:tblPr/>
      <w:tcPr>
        <w:tcBorders>
          <w:top w:val="none" w:color="000000" w:sz="0" w:space="0"/>
          <w:left w:val="none" w:color="000000" w:sz="0" w:space="0"/>
          <w:bottom w:val="single" w:color="DA76CE" w:themeColor="accent5" w:themeTint="90" w:sz="4" w:space="0"/>
          <w:right w:val="none" w:color="000000" w:sz="0" w:space="0"/>
        </w:tcBorders>
        <w:shd w:val="clear" w:color="FFFFFF" w:themeColor="light1" w:fill="FFFFFF" w:themeFill="light1"/>
      </w:tcPr>
    </w:tblStylePr>
    <w:tblStylePr w:type="lastRow">
      <w:rPr>
        <w:rFonts w:ascii="Arial" w:hAnsi="Arial"/>
        <w:b/>
        <w:color w:val="5D1955" w:themeColor="accent5" w:themeShade="95"/>
        <w:sz w:val="22"/>
      </w:rPr>
      <w:tblPr/>
      <w:tcPr>
        <w:tcBorders>
          <w:top w:val="single" w:color="DA76CE" w:themeColor="accent5" w:themeTint="90" w:sz="4" w:space="0"/>
          <w:left w:val="none" w:color="000000" w:sz="0" w:space="0"/>
          <w:bottom w:val="none" w:color="000000" w:sz="0" w:space="0"/>
          <w:right w:val="none" w:color="000000" w:sz="0" w:space="0"/>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color="000000" w:sz="0" w:space="0"/>
          <w:left w:val="none" w:color="000000" w:sz="0" w:space="0"/>
          <w:bottom w:val="none" w:color="000000" w:sz="0" w:space="0"/>
          <w:right w:val="single" w:color="DA76CE" w:themeColor="accent5" w:themeTint="90" w:sz="4" w:space="0"/>
        </w:tcBorders>
        <w:shd w:val="clear" w:color="FFFFFF" w:fill="auto"/>
      </w:tcPr>
    </w:tblStylePr>
    <w:tblStylePr w:type="lastCol">
      <w:rPr>
        <w:rFonts w:ascii="Arial" w:hAnsi="Arial"/>
        <w:i/>
        <w:color w:val="5D1955" w:themeColor="accent5" w:themeShade="95"/>
        <w:sz w:val="22"/>
      </w:rPr>
      <w:tblPr/>
      <w:tcPr>
        <w:tcBorders>
          <w:top w:val="none" w:color="000000" w:sz="0" w:space="0"/>
          <w:left w:val="single" w:color="DA76CE" w:themeColor="accent5" w:themeTint="90" w:sz="4" w:space="0"/>
          <w:bottom w:val="none" w:color="000000" w:sz="0" w:space="0"/>
          <w:right w:val="none" w:color="000000" w:sz="0" w:space="0"/>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styleId="GridTable7Colorful-Accent6" w:customStyle="1">
    <w:name w:val="Grid Table 7 Colorful - Accent 6"/>
    <w:basedOn w:val="TableauNormal"/>
    <w:uiPriority w:val="99"/>
    <w:pPr>
      <w:spacing w:after="0" w:line="240" w:lineRule="auto"/>
    </w:pPr>
    <w:tblPr>
      <w:tblStyleRowBandSize w:val="1"/>
      <w:tblStyleColBandSize w:val="1"/>
      <w:tblBorders>
        <w:bottom w:val="single" w:color="94DA7B" w:themeColor="accent6" w:themeTint="90" w:sz="4" w:space="0"/>
        <w:right w:val="single" w:color="94DA7B" w:themeColor="accent6" w:themeTint="90" w:sz="4" w:space="0"/>
        <w:insideH w:val="single" w:color="94DA7B" w:themeColor="accent6" w:themeTint="90" w:sz="4" w:space="0"/>
        <w:insideV w:val="single" w:color="94DA7B" w:themeColor="accent6" w:themeTint="90" w:sz="4" w:space="0"/>
      </w:tblBorders>
    </w:tblPr>
    <w:tblStylePr w:type="firstRow">
      <w:rPr>
        <w:rFonts w:ascii="Arial" w:hAnsi="Arial"/>
        <w:b/>
        <w:color w:val="2D611B" w:themeColor="accent6" w:themeShade="95"/>
        <w:sz w:val="22"/>
      </w:rPr>
      <w:tblPr/>
      <w:tcPr>
        <w:tcBorders>
          <w:top w:val="none" w:color="000000" w:sz="0" w:space="0"/>
          <w:left w:val="none" w:color="000000" w:sz="0" w:space="0"/>
          <w:bottom w:val="single" w:color="94DA7B" w:themeColor="accent6" w:themeTint="90" w:sz="4" w:space="0"/>
          <w:right w:val="none" w:color="000000" w:sz="0" w:space="0"/>
        </w:tcBorders>
        <w:shd w:val="clear" w:color="FFFFFF" w:themeColor="light1" w:fill="FFFFFF" w:themeFill="light1"/>
      </w:tcPr>
    </w:tblStylePr>
    <w:tblStylePr w:type="lastRow">
      <w:rPr>
        <w:rFonts w:ascii="Arial" w:hAnsi="Arial"/>
        <w:b/>
        <w:color w:val="2D611B" w:themeColor="accent6" w:themeShade="95"/>
        <w:sz w:val="22"/>
      </w:rPr>
      <w:tblPr/>
      <w:tcPr>
        <w:tcBorders>
          <w:top w:val="single" w:color="94DA7B" w:themeColor="accent6" w:themeTint="90" w:sz="4" w:space="0"/>
          <w:left w:val="none" w:color="000000" w:sz="0" w:space="0"/>
          <w:bottom w:val="none" w:color="000000" w:sz="0" w:space="0"/>
          <w:right w:val="none" w:color="000000" w:sz="0" w:space="0"/>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color="000000" w:sz="0" w:space="0"/>
          <w:left w:val="none" w:color="000000" w:sz="0" w:space="0"/>
          <w:bottom w:val="none" w:color="000000" w:sz="0" w:space="0"/>
          <w:right w:val="single" w:color="94DA7B" w:themeColor="accent6" w:themeTint="90" w:sz="4" w:space="0"/>
        </w:tcBorders>
        <w:shd w:val="clear" w:color="FFFFFF" w:fill="auto"/>
      </w:tcPr>
    </w:tblStylePr>
    <w:tblStylePr w:type="lastCol">
      <w:rPr>
        <w:rFonts w:ascii="Arial" w:hAnsi="Arial"/>
        <w:i/>
        <w:color w:val="2D611B" w:themeColor="accent6" w:themeShade="95"/>
        <w:sz w:val="22"/>
      </w:rPr>
      <w:tblPr/>
      <w:tcPr>
        <w:tcBorders>
          <w:top w:val="none" w:color="000000" w:sz="0" w:space="0"/>
          <w:left w:val="single" w:color="94DA7B" w:themeColor="accent6" w:themeTint="90" w:sz="4" w:space="0"/>
          <w:bottom w:val="none" w:color="000000" w:sz="0" w:space="0"/>
          <w:right w:val="none" w:color="000000" w:sz="0" w:space="0"/>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000000" w:themeColor="text1" w:sz="4" w:space="0"/>
          <w:right w:val="none" w:color="000000" w:sz="4" w:space="0"/>
        </w:tcBorders>
      </w:tcPr>
    </w:tblStylePr>
    <w:tblStylePr w:type="lastRow">
      <w:rPr>
        <w:b/>
        <w:color w:val="404040"/>
      </w:rPr>
      <w:tblPr/>
      <w:tcPr>
        <w:tcBorders>
          <w:top w:val="single" w:color="000000" w:themeColor="text1"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customStyle="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156082" w:themeColor="accent1" w:sz="4" w:space="0"/>
          <w:right w:val="none" w:color="000000" w:sz="4" w:space="0"/>
        </w:tcBorders>
      </w:tcPr>
    </w:tblStylePr>
    <w:tblStylePr w:type="lastRow">
      <w:rPr>
        <w:b/>
        <w:color w:val="404040"/>
      </w:rPr>
      <w:tblPr/>
      <w:tcPr>
        <w:tcBorders>
          <w:top w:val="single" w:color="156082" w:themeColor="accent1"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styleId="ListTable1Light-Accent2" w:customStyle="1">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E97132" w:themeColor="accent2" w:sz="4" w:space="0"/>
          <w:right w:val="none" w:color="000000" w:sz="4" w:space="0"/>
        </w:tcBorders>
      </w:tcPr>
    </w:tblStylePr>
    <w:tblStylePr w:type="lastRow">
      <w:rPr>
        <w:b/>
        <w:color w:val="404040"/>
      </w:rPr>
      <w:tblPr/>
      <w:tcPr>
        <w:tcBorders>
          <w:top w:val="single" w:color="E97132" w:themeColor="accent2"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styleId="ListTable1Light-Accent3" w:customStyle="1">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196B24" w:themeColor="accent3" w:sz="4" w:space="0"/>
          <w:right w:val="none" w:color="000000" w:sz="4" w:space="0"/>
        </w:tcBorders>
      </w:tcPr>
    </w:tblStylePr>
    <w:tblStylePr w:type="lastRow">
      <w:rPr>
        <w:b/>
        <w:color w:val="404040"/>
      </w:rPr>
      <w:tblPr/>
      <w:tcPr>
        <w:tcBorders>
          <w:top w:val="single" w:color="196B24" w:themeColor="accent3"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styleId="ListTable1Light-Accent4" w:customStyle="1">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0F9ED5" w:themeColor="accent4" w:sz="4" w:space="0"/>
          <w:right w:val="none" w:color="000000" w:sz="4" w:space="0"/>
        </w:tcBorders>
      </w:tcPr>
    </w:tblStylePr>
    <w:tblStylePr w:type="lastRow">
      <w:rPr>
        <w:b/>
        <w:color w:val="404040"/>
      </w:rPr>
      <w:tblPr/>
      <w:tcPr>
        <w:tcBorders>
          <w:top w:val="single" w:color="0F9ED5" w:themeColor="accent4"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styleId="ListTable1Light-Accent5" w:customStyle="1">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A02B93" w:themeColor="accent5" w:sz="4" w:space="0"/>
          <w:right w:val="none" w:color="000000" w:sz="4" w:space="0"/>
        </w:tcBorders>
      </w:tcPr>
    </w:tblStylePr>
    <w:tblStylePr w:type="lastRow">
      <w:rPr>
        <w:b/>
        <w:color w:val="404040"/>
      </w:rPr>
      <w:tblPr/>
      <w:tcPr>
        <w:tcBorders>
          <w:top w:val="single" w:color="A02B93" w:themeColor="accent5"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styleId="ListTable1Light-Accent6" w:customStyle="1">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4EA72E" w:themeColor="accent6" w:sz="4" w:space="0"/>
          <w:right w:val="none" w:color="000000" w:sz="4" w:space="0"/>
        </w:tcBorders>
      </w:tcPr>
    </w:tblStylePr>
    <w:tblStylePr w:type="lastRow">
      <w:rPr>
        <w:b/>
        <w:color w:val="404040"/>
      </w:rPr>
      <w:tblPr/>
      <w:tcPr>
        <w:tcBorders>
          <w:top w:val="single" w:color="4EA72E" w:themeColor="accent6"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firstRow">
      <w:rPr>
        <w:rFonts w:ascii="Arial" w:hAnsi="Arial"/>
        <w:b/>
        <w:color w:val="404040"/>
        <w:sz w:val="22"/>
      </w:rPr>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Row">
      <w:rPr>
        <w:rFonts w:ascii="Arial" w:hAnsi="Arial"/>
        <w:b/>
        <w:color w:val="404040"/>
        <w:sz w:val="22"/>
      </w:rPr>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customStyle="1">
    <w:name w:val="List Table 2 - Accent 1"/>
    <w:basedOn w:val="TableauNormal"/>
    <w:uiPriority w:val="99"/>
    <w:pPr>
      <w:spacing w:after="0" w:line="240" w:lineRule="auto"/>
    </w:pPr>
    <w:tblPr>
      <w:tblStyleRowBandSize w:val="1"/>
      <w:tblStyleColBandSize w:val="1"/>
      <w:tblBorders>
        <w:top w:val="single" w:color="50B4E2" w:themeColor="accent1" w:themeTint="90" w:sz="4" w:space="0"/>
        <w:bottom w:val="single" w:color="50B4E2" w:themeColor="accent1" w:themeTint="90" w:sz="4" w:space="0"/>
        <w:insideH w:val="single" w:color="50B4E2" w:themeColor="accent1" w:themeTint="90" w:sz="4" w:space="0"/>
      </w:tblBorders>
    </w:tblPr>
    <w:tblStylePr w:type="firstRow">
      <w:rPr>
        <w:rFonts w:ascii="Arial" w:hAnsi="Arial"/>
        <w:b/>
        <w:color w:val="404040"/>
        <w:sz w:val="22"/>
      </w:rPr>
      <w:tblPr/>
      <w:tcPr>
        <w:tcBorders>
          <w:top w:val="single" w:color="50B4E2" w:themeColor="accent1" w:themeTint="90" w:sz="4" w:space="0"/>
          <w:left w:val="none" w:color="000000" w:sz="4" w:space="0"/>
          <w:bottom w:val="single" w:color="50B4E2" w:themeColor="accent1" w:themeTint="90" w:sz="4" w:space="0"/>
          <w:right w:val="none" w:color="000000" w:sz="4" w:space="0"/>
        </w:tcBorders>
      </w:tcPr>
    </w:tblStylePr>
    <w:tblStylePr w:type="lastRow">
      <w:rPr>
        <w:rFonts w:ascii="Arial" w:hAnsi="Arial"/>
        <w:b/>
        <w:color w:val="404040"/>
        <w:sz w:val="22"/>
      </w:rPr>
      <w:tblPr/>
      <w:tcPr>
        <w:tcBorders>
          <w:top w:val="single" w:color="50B4E2" w:themeColor="accent1" w:themeTint="90" w:sz="4" w:space="0"/>
          <w:left w:val="none" w:color="000000" w:sz="4" w:space="0"/>
          <w:bottom w:val="single" w:color="50B4E2" w:themeColor="accent1"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styleId="ListTable2-Accent2" w:customStyle="1">
    <w:name w:val="List Table 2 - Accent 2"/>
    <w:basedOn w:val="TableauNormal"/>
    <w:uiPriority w:val="99"/>
    <w:pPr>
      <w:spacing w:after="0" w:line="240" w:lineRule="auto"/>
    </w:pPr>
    <w:tblPr>
      <w:tblStyleRowBandSize w:val="1"/>
      <w:tblStyleColBandSize w:val="1"/>
      <w:tblBorders>
        <w:top w:val="single" w:color="F2AE8B" w:themeColor="accent2" w:themeTint="90" w:sz="4" w:space="0"/>
        <w:bottom w:val="single" w:color="F2AE8B" w:themeColor="accent2" w:themeTint="90" w:sz="4" w:space="0"/>
        <w:insideH w:val="single" w:color="F2AE8B" w:themeColor="accent2" w:themeTint="90" w:sz="4" w:space="0"/>
      </w:tblBorders>
    </w:tblPr>
    <w:tblStylePr w:type="firstRow">
      <w:rPr>
        <w:rFonts w:ascii="Arial" w:hAnsi="Arial"/>
        <w:b/>
        <w:color w:val="404040"/>
        <w:sz w:val="22"/>
      </w:rPr>
      <w:tblPr/>
      <w:tcPr>
        <w:tcBorders>
          <w:top w:val="single" w:color="F2AE8B" w:themeColor="accent2" w:themeTint="90" w:sz="4" w:space="0"/>
          <w:left w:val="none" w:color="000000" w:sz="4" w:space="0"/>
          <w:bottom w:val="single" w:color="F2AE8B" w:themeColor="accent2" w:themeTint="90" w:sz="4" w:space="0"/>
          <w:right w:val="none" w:color="000000" w:sz="4" w:space="0"/>
        </w:tcBorders>
      </w:tcPr>
    </w:tblStylePr>
    <w:tblStylePr w:type="lastRow">
      <w:rPr>
        <w:rFonts w:ascii="Arial" w:hAnsi="Arial"/>
        <w:b/>
        <w:color w:val="404040"/>
        <w:sz w:val="22"/>
      </w:rPr>
      <w:tblPr/>
      <w:tcPr>
        <w:tcBorders>
          <w:top w:val="single" w:color="F2AE8B" w:themeColor="accent2" w:themeTint="90" w:sz="4" w:space="0"/>
          <w:left w:val="none" w:color="000000" w:sz="4" w:space="0"/>
          <w:bottom w:val="single" w:color="F2AE8B" w:themeColor="accent2"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styleId="ListTable2-Accent3" w:customStyle="1">
    <w:name w:val="List Table 2 - Accent 3"/>
    <w:basedOn w:val="TableauNormal"/>
    <w:uiPriority w:val="99"/>
    <w:pPr>
      <w:spacing w:after="0" w:line="240" w:lineRule="auto"/>
    </w:pPr>
    <w:tblPr>
      <w:tblStyleRowBandSize w:val="1"/>
      <w:tblStyleColBandSize w:val="1"/>
      <w:tblBorders>
        <w:top w:val="single" w:color="51D663" w:themeColor="accent3" w:themeTint="90" w:sz="4" w:space="0"/>
        <w:bottom w:val="single" w:color="51D663" w:themeColor="accent3" w:themeTint="90" w:sz="4" w:space="0"/>
        <w:insideH w:val="single" w:color="51D663" w:themeColor="accent3" w:themeTint="90" w:sz="4" w:space="0"/>
      </w:tblBorders>
    </w:tblPr>
    <w:tblStylePr w:type="firstRow">
      <w:rPr>
        <w:rFonts w:ascii="Arial" w:hAnsi="Arial"/>
        <w:b/>
        <w:color w:val="404040"/>
        <w:sz w:val="22"/>
      </w:rPr>
      <w:tblPr/>
      <w:tcPr>
        <w:tcBorders>
          <w:top w:val="single" w:color="51D663" w:themeColor="accent3" w:themeTint="90" w:sz="4" w:space="0"/>
          <w:left w:val="none" w:color="000000" w:sz="4" w:space="0"/>
          <w:bottom w:val="single" w:color="51D663" w:themeColor="accent3" w:themeTint="90" w:sz="4" w:space="0"/>
          <w:right w:val="none" w:color="000000" w:sz="4" w:space="0"/>
        </w:tcBorders>
      </w:tcPr>
    </w:tblStylePr>
    <w:tblStylePr w:type="lastRow">
      <w:rPr>
        <w:rFonts w:ascii="Arial" w:hAnsi="Arial"/>
        <w:b/>
        <w:color w:val="404040"/>
        <w:sz w:val="22"/>
      </w:rPr>
      <w:tblPr/>
      <w:tcPr>
        <w:tcBorders>
          <w:top w:val="single" w:color="51D663" w:themeColor="accent3" w:themeTint="90" w:sz="4" w:space="0"/>
          <w:left w:val="none" w:color="000000" w:sz="4" w:space="0"/>
          <w:bottom w:val="single" w:color="51D663" w:themeColor="accent3"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styleId="ListTable2-Accent4" w:customStyle="1">
    <w:name w:val="List Table 2 - Accent 4"/>
    <w:basedOn w:val="TableauNormal"/>
    <w:uiPriority w:val="99"/>
    <w:pPr>
      <w:spacing w:after="0" w:line="240" w:lineRule="auto"/>
    </w:pPr>
    <w:tblPr>
      <w:tblStyleRowBandSize w:val="1"/>
      <w:tblStyleColBandSize w:val="1"/>
      <w:tblBorders>
        <w:top w:val="single" w:color="6ACDF4" w:themeColor="accent4" w:themeTint="90" w:sz="4" w:space="0"/>
        <w:bottom w:val="single" w:color="6ACDF4" w:themeColor="accent4" w:themeTint="90" w:sz="4" w:space="0"/>
        <w:insideH w:val="single" w:color="6ACDF4" w:themeColor="accent4" w:themeTint="90" w:sz="4" w:space="0"/>
      </w:tblBorders>
    </w:tblPr>
    <w:tblStylePr w:type="firstRow">
      <w:rPr>
        <w:rFonts w:ascii="Arial" w:hAnsi="Arial"/>
        <w:b/>
        <w:color w:val="404040"/>
        <w:sz w:val="22"/>
      </w:rPr>
      <w:tblPr/>
      <w:tcPr>
        <w:tcBorders>
          <w:top w:val="single" w:color="6ACDF4" w:themeColor="accent4" w:themeTint="90" w:sz="4" w:space="0"/>
          <w:left w:val="none" w:color="000000" w:sz="4" w:space="0"/>
          <w:bottom w:val="single" w:color="6ACDF4" w:themeColor="accent4" w:themeTint="90" w:sz="4" w:space="0"/>
          <w:right w:val="none" w:color="000000" w:sz="4" w:space="0"/>
        </w:tcBorders>
      </w:tcPr>
    </w:tblStylePr>
    <w:tblStylePr w:type="lastRow">
      <w:rPr>
        <w:rFonts w:ascii="Arial" w:hAnsi="Arial"/>
        <w:b/>
        <w:color w:val="404040"/>
        <w:sz w:val="22"/>
      </w:rPr>
      <w:tblPr/>
      <w:tcPr>
        <w:tcBorders>
          <w:top w:val="single" w:color="6ACDF4" w:themeColor="accent4" w:themeTint="90" w:sz="4" w:space="0"/>
          <w:left w:val="none" w:color="000000" w:sz="4" w:space="0"/>
          <w:bottom w:val="single" w:color="6ACDF4" w:themeColor="accent4"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styleId="ListTable2-Accent5" w:customStyle="1">
    <w:name w:val="List Table 2 - Accent 5"/>
    <w:basedOn w:val="TableauNormal"/>
    <w:uiPriority w:val="99"/>
    <w:pPr>
      <w:spacing w:after="0" w:line="240" w:lineRule="auto"/>
    </w:pPr>
    <w:tblPr>
      <w:tblStyleRowBandSize w:val="1"/>
      <w:tblStyleColBandSize w:val="1"/>
      <w:tblBorders>
        <w:top w:val="single" w:color="DA76CE" w:themeColor="accent5" w:themeTint="90" w:sz="4" w:space="0"/>
        <w:bottom w:val="single" w:color="DA76CE" w:themeColor="accent5" w:themeTint="90" w:sz="4" w:space="0"/>
        <w:insideH w:val="single" w:color="DA76CE" w:themeColor="accent5" w:themeTint="90" w:sz="4" w:space="0"/>
      </w:tblBorders>
    </w:tblPr>
    <w:tblStylePr w:type="firstRow">
      <w:rPr>
        <w:rFonts w:ascii="Arial" w:hAnsi="Arial"/>
        <w:b/>
        <w:color w:val="404040"/>
        <w:sz w:val="22"/>
      </w:rPr>
      <w:tblPr/>
      <w:tcPr>
        <w:tcBorders>
          <w:top w:val="single" w:color="DA76CE" w:themeColor="accent5" w:themeTint="90" w:sz="4" w:space="0"/>
          <w:left w:val="none" w:color="000000" w:sz="4" w:space="0"/>
          <w:bottom w:val="single" w:color="DA76CE" w:themeColor="accent5" w:themeTint="90" w:sz="4" w:space="0"/>
          <w:right w:val="none" w:color="000000" w:sz="4" w:space="0"/>
        </w:tcBorders>
      </w:tcPr>
    </w:tblStylePr>
    <w:tblStylePr w:type="lastRow">
      <w:rPr>
        <w:rFonts w:ascii="Arial" w:hAnsi="Arial"/>
        <w:b/>
        <w:color w:val="404040"/>
        <w:sz w:val="22"/>
      </w:rPr>
      <w:tblPr/>
      <w:tcPr>
        <w:tcBorders>
          <w:top w:val="single" w:color="DA76CE" w:themeColor="accent5" w:themeTint="90" w:sz="4" w:space="0"/>
          <w:left w:val="none" w:color="000000" w:sz="4" w:space="0"/>
          <w:bottom w:val="single" w:color="DA76CE" w:themeColor="accent5"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styleId="ListTable2-Accent6" w:customStyle="1">
    <w:name w:val="List Table 2 - Accent 6"/>
    <w:basedOn w:val="TableauNormal"/>
    <w:uiPriority w:val="99"/>
    <w:pPr>
      <w:spacing w:after="0" w:line="240" w:lineRule="auto"/>
    </w:pPr>
    <w:tblPr>
      <w:tblStyleRowBandSize w:val="1"/>
      <w:tblStyleColBandSize w:val="1"/>
      <w:tblBorders>
        <w:top w:val="single" w:color="94DA7B" w:themeColor="accent6" w:themeTint="90" w:sz="4" w:space="0"/>
        <w:bottom w:val="single" w:color="94DA7B" w:themeColor="accent6" w:themeTint="90" w:sz="4" w:space="0"/>
        <w:insideH w:val="single" w:color="94DA7B" w:themeColor="accent6" w:themeTint="90" w:sz="4" w:space="0"/>
      </w:tblBorders>
    </w:tblPr>
    <w:tblStylePr w:type="firstRow">
      <w:rPr>
        <w:rFonts w:ascii="Arial" w:hAnsi="Arial"/>
        <w:b/>
        <w:color w:val="404040"/>
        <w:sz w:val="22"/>
      </w:rPr>
      <w:tblPr/>
      <w:tcPr>
        <w:tcBorders>
          <w:top w:val="single" w:color="94DA7B" w:themeColor="accent6" w:themeTint="90" w:sz="4" w:space="0"/>
          <w:left w:val="none" w:color="000000" w:sz="4" w:space="0"/>
          <w:bottom w:val="single" w:color="94DA7B" w:themeColor="accent6" w:themeTint="90" w:sz="4" w:space="0"/>
          <w:right w:val="none" w:color="000000" w:sz="4" w:space="0"/>
        </w:tcBorders>
      </w:tcPr>
    </w:tblStylePr>
    <w:tblStylePr w:type="lastRow">
      <w:rPr>
        <w:rFonts w:ascii="Arial" w:hAnsi="Arial"/>
        <w:b/>
        <w:color w:val="404040"/>
        <w:sz w:val="22"/>
      </w:rPr>
      <w:tblPr/>
      <w:tcPr>
        <w:tcBorders>
          <w:top w:val="single" w:color="94DA7B" w:themeColor="accent6" w:themeTint="90" w:sz="4" w:space="0"/>
          <w:left w:val="none" w:color="000000" w:sz="4" w:space="0"/>
          <w:bottom w:val="single" w:color="94DA7B" w:themeColor="accent6"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000000" w:themeColor="text1" w:sz="4" w:space="0"/>
          <w:right w:val="single" w:color="000000" w:themeColor="text1" w:sz="4" w:space="0"/>
        </w:tcBorders>
      </w:tcPr>
    </w:tblStylePr>
    <w:tblStylePr w:type="band1Horz">
      <w:rPr>
        <w:rFonts w:ascii="Arial" w:hAnsi="Arial"/>
        <w:color w:val="404040"/>
        <w:sz w:val="22"/>
      </w:rPr>
      <w:tblPr/>
      <w:tcPr>
        <w:tcBorders>
          <w:top w:val="single" w:color="000000" w:themeColor="text1" w:sz="4" w:space="0"/>
          <w:bottom w:val="single" w:color="000000" w:themeColor="text1" w:sz="4" w:space="0"/>
        </w:tcBorders>
      </w:tcPr>
    </w:tblStylePr>
  </w:style>
  <w:style w:type="table" w:styleId="ListTable3-Accent1" w:customStyle="1">
    <w:name w:val="List Table 3 - Accent 1"/>
    <w:basedOn w:val="TableauNormal"/>
    <w:uiPriority w:val="99"/>
    <w:pPr>
      <w:spacing w:after="0" w:line="240" w:lineRule="auto"/>
    </w:pPr>
    <w:tblPr>
      <w:tblStyleRowBandSize w:val="1"/>
      <w:tblStyleColBandSize w:val="1"/>
      <w:tblBorders>
        <w:top w:val="single" w:color="156082" w:themeColor="accent1" w:sz="4" w:space="0"/>
        <w:left w:val="single" w:color="156082" w:themeColor="accent1" w:sz="4" w:space="0"/>
        <w:bottom w:val="single" w:color="156082" w:themeColor="accent1" w:sz="4" w:space="0"/>
        <w:right w:val="single" w:color="156082" w:themeColor="accent1" w:sz="4" w:space="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156082" w:themeColor="accent1" w:sz="4" w:space="0"/>
          <w:right w:val="single" w:color="156082" w:themeColor="accent1" w:sz="4" w:space="0"/>
        </w:tcBorders>
      </w:tcPr>
    </w:tblStylePr>
    <w:tblStylePr w:type="band1Horz">
      <w:rPr>
        <w:rFonts w:ascii="Arial" w:hAnsi="Arial"/>
        <w:color w:val="404040"/>
        <w:sz w:val="22"/>
      </w:rPr>
      <w:tblPr/>
      <w:tcPr>
        <w:tcBorders>
          <w:top w:val="single" w:color="156082" w:themeColor="accent1" w:sz="4" w:space="0"/>
          <w:bottom w:val="single" w:color="156082" w:themeColor="accent1" w:sz="4" w:space="0"/>
        </w:tcBorders>
      </w:tcPr>
    </w:tblStylePr>
  </w:style>
  <w:style w:type="table" w:styleId="ListTable3-Accent2" w:customStyle="1">
    <w:name w:val="List Table 3 - Accent 2"/>
    <w:basedOn w:val="TableauNormal"/>
    <w:uiPriority w:val="99"/>
    <w:pPr>
      <w:spacing w:after="0" w:line="240" w:lineRule="auto"/>
    </w:pPr>
    <w:tblPr>
      <w:tblStyleRowBandSize w:val="1"/>
      <w:tblStyleColBandSize w:val="1"/>
      <w:tblBorders>
        <w:top w:val="single" w:color="F2AA85" w:themeColor="accent2" w:themeTint="97" w:sz="4" w:space="0"/>
        <w:left w:val="single" w:color="F2AA85" w:themeColor="accent2" w:themeTint="97" w:sz="4" w:space="0"/>
        <w:bottom w:val="single" w:color="F2AA85" w:themeColor="accent2" w:themeTint="97" w:sz="4" w:space="0"/>
        <w:right w:val="single" w:color="F2AA85" w:themeColor="accent2" w:themeTint="97" w:sz="4" w:space="0"/>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F2AA85" w:themeColor="accent2" w:themeTint="97" w:sz="4" w:space="0"/>
          <w:right w:val="single" w:color="F2AA85" w:themeColor="accent2" w:themeTint="97" w:sz="4" w:space="0"/>
        </w:tcBorders>
      </w:tcPr>
    </w:tblStylePr>
    <w:tblStylePr w:type="band1Horz">
      <w:rPr>
        <w:rFonts w:ascii="Arial" w:hAnsi="Arial"/>
        <w:color w:val="404040"/>
        <w:sz w:val="22"/>
      </w:rPr>
      <w:tblPr/>
      <w:tcPr>
        <w:tcBorders>
          <w:top w:val="single" w:color="F2AA85" w:themeColor="accent2" w:themeTint="97" w:sz="4" w:space="0"/>
          <w:bottom w:val="single" w:color="F2AA85" w:themeColor="accent2" w:themeTint="97" w:sz="4" w:space="0"/>
        </w:tcBorders>
      </w:tcPr>
    </w:tblStylePr>
  </w:style>
  <w:style w:type="table" w:styleId="ListTable3-Accent3" w:customStyle="1">
    <w:name w:val="List Table 3 - Accent 3"/>
    <w:basedOn w:val="TableauNormal"/>
    <w:uiPriority w:val="99"/>
    <w:pPr>
      <w:spacing w:after="0" w:line="240" w:lineRule="auto"/>
    </w:pPr>
    <w:tblPr>
      <w:tblStyleRowBandSize w:val="1"/>
      <w:tblStyleColBandSize w:val="1"/>
      <w:tblBorders>
        <w:top w:val="single" w:color="48D45B" w:themeColor="accent3" w:themeTint="98" w:sz="4" w:space="0"/>
        <w:left w:val="single" w:color="48D45B" w:themeColor="accent3" w:themeTint="98" w:sz="4" w:space="0"/>
        <w:bottom w:val="single" w:color="48D45B" w:themeColor="accent3" w:themeTint="98" w:sz="4" w:space="0"/>
        <w:right w:val="single" w:color="48D45B" w:themeColor="accent3" w:themeTint="98" w:sz="4" w:space="0"/>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48D45B" w:themeColor="accent3" w:themeTint="98" w:sz="4" w:space="0"/>
          <w:right w:val="single" w:color="48D45B" w:themeColor="accent3" w:themeTint="98" w:sz="4" w:space="0"/>
        </w:tcBorders>
      </w:tcPr>
    </w:tblStylePr>
    <w:tblStylePr w:type="band1Horz">
      <w:rPr>
        <w:rFonts w:ascii="Arial" w:hAnsi="Arial"/>
        <w:color w:val="404040"/>
        <w:sz w:val="22"/>
      </w:rPr>
      <w:tblPr/>
      <w:tcPr>
        <w:tcBorders>
          <w:top w:val="single" w:color="48D45B" w:themeColor="accent3" w:themeTint="98" w:sz="4" w:space="0"/>
          <w:bottom w:val="single" w:color="48D45B" w:themeColor="accent3" w:themeTint="98" w:sz="4" w:space="0"/>
        </w:tcBorders>
      </w:tcPr>
    </w:tblStylePr>
  </w:style>
  <w:style w:type="table" w:styleId="ListTable3-Accent4" w:customStyle="1">
    <w:name w:val="List Table 3 - Accent 4"/>
    <w:basedOn w:val="TableauNormal"/>
    <w:uiPriority w:val="99"/>
    <w:pPr>
      <w:spacing w:after="0" w:line="240" w:lineRule="auto"/>
    </w:pPr>
    <w:tblPr>
      <w:tblStyleRowBandSize w:val="1"/>
      <w:tblStyleColBandSize w:val="1"/>
      <w:tblBorders>
        <w:top w:val="single" w:color="5FCAF3" w:themeColor="accent4" w:themeTint="9A" w:sz="4" w:space="0"/>
        <w:left w:val="single" w:color="5FCAF3" w:themeColor="accent4" w:themeTint="9A" w:sz="4" w:space="0"/>
        <w:bottom w:val="single" w:color="5FCAF3" w:themeColor="accent4" w:themeTint="9A" w:sz="4" w:space="0"/>
        <w:right w:val="single" w:color="5FCAF3" w:themeColor="accent4" w:themeTint="9A" w:sz="4" w:space="0"/>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5FCAF3" w:themeColor="accent4" w:themeTint="9A" w:sz="4" w:space="0"/>
          <w:right w:val="single" w:color="5FCAF3" w:themeColor="accent4" w:themeTint="9A" w:sz="4" w:space="0"/>
        </w:tcBorders>
      </w:tcPr>
    </w:tblStylePr>
    <w:tblStylePr w:type="band1Horz">
      <w:rPr>
        <w:rFonts w:ascii="Arial" w:hAnsi="Arial"/>
        <w:color w:val="404040"/>
        <w:sz w:val="22"/>
      </w:rPr>
      <w:tblPr/>
      <w:tcPr>
        <w:tcBorders>
          <w:top w:val="single" w:color="5FCAF3" w:themeColor="accent4" w:themeTint="9A" w:sz="4" w:space="0"/>
          <w:bottom w:val="single" w:color="5FCAF3" w:themeColor="accent4" w:themeTint="9A" w:sz="4" w:space="0"/>
        </w:tcBorders>
      </w:tcPr>
    </w:tblStylePr>
  </w:style>
  <w:style w:type="table" w:styleId="ListTable3-Accent5" w:customStyle="1">
    <w:name w:val="List Table 3 - Accent 5"/>
    <w:basedOn w:val="TableauNormal"/>
    <w:uiPriority w:val="99"/>
    <w:pPr>
      <w:spacing w:after="0" w:line="240" w:lineRule="auto"/>
    </w:pPr>
    <w:tblPr>
      <w:tblStyleRowBandSize w:val="1"/>
      <w:tblStyleColBandSize w:val="1"/>
      <w:tblBorders>
        <w:top w:val="single" w:color="D76CCB" w:themeColor="accent5" w:themeTint="9A" w:sz="4" w:space="0"/>
        <w:left w:val="single" w:color="D76CCB" w:themeColor="accent5" w:themeTint="9A" w:sz="4" w:space="0"/>
        <w:bottom w:val="single" w:color="D76CCB" w:themeColor="accent5" w:themeTint="9A" w:sz="4" w:space="0"/>
        <w:right w:val="single" w:color="D76CCB" w:themeColor="accent5" w:themeTint="9A" w:sz="4" w:space="0"/>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D76CCB" w:themeColor="accent5" w:themeTint="9A" w:sz="4" w:space="0"/>
          <w:right w:val="single" w:color="D76CCB" w:themeColor="accent5" w:themeTint="9A" w:sz="4" w:space="0"/>
        </w:tcBorders>
      </w:tcPr>
    </w:tblStylePr>
    <w:tblStylePr w:type="band1Horz">
      <w:rPr>
        <w:rFonts w:ascii="Arial" w:hAnsi="Arial"/>
        <w:color w:val="404040"/>
        <w:sz w:val="22"/>
      </w:rPr>
      <w:tblPr/>
      <w:tcPr>
        <w:tcBorders>
          <w:top w:val="single" w:color="D76CCB" w:themeColor="accent5" w:themeTint="9A" w:sz="4" w:space="0"/>
          <w:bottom w:val="single" w:color="D76CCB" w:themeColor="accent5" w:themeTint="9A" w:sz="4" w:space="0"/>
        </w:tcBorders>
      </w:tcPr>
    </w:tblStylePr>
  </w:style>
  <w:style w:type="table" w:styleId="ListTable3-Accent6" w:customStyle="1">
    <w:name w:val="List Table 3 - Accent 6"/>
    <w:basedOn w:val="TableauNormal"/>
    <w:uiPriority w:val="99"/>
    <w:pPr>
      <w:spacing w:after="0" w:line="240" w:lineRule="auto"/>
    </w:pPr>
    <w:tblPr>
      <w:tblStyleRowBandSize w:val="1"/>
      <w:tblStyleColBandSize w:val="1"/>
      <w:tblBorders>
        <w:top w:val="single" w:color="8ED873" w:themeColor="accent6" w:themeTint="98" w:sz="4" w:space="0"/>
        <w:left w:val="single" w:color="8ED873" w:themeColor="accent6" w:themeTint="98" w:sz="4" w:space="0"/>
        <w:bottom w:val="single" w:color="8ED873" w:themeColor="accent6" w:themeTint="98" w:sz="4" w:space="0"/>
        <w:right w:val="single" w:color="8ED873" w:themeColor="accent6" w:themeTint="98" w:sz="4" w:space="0"/>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8ED873" w:themeColor="accent6" w:themeTint="98" w:sz="4" w:space="0"/>
          <w:right w:val="single" w:color="8ED873" w:themeColor="accent6" w:themeTint="98" w:sz="4" w:space="0"/>
        </w:tcBorders>
      </w:tcPr>
    </w:tblStylePr>
    <w:tblStylePr w:type="band1Horz">
      <w:rPr>
        <w:rFonts w:ascii="Arial" w:hAnsi="Arial"/>
        <w:color w:val="404040"/>
        <w:sz w:val="22"/>
      </w:rPr>
      <w:tblPr/>
      <w:tcPr>
        <w:tcBorders>
          <w:top w:val="single" w:color="8ED873" w:themeColor="accent6" w:themeTint="98" w:sz="4" w:space="0"/>
          <w:bottom w:val="single" w:color="8ED873" w:themeColor="accent6" w:themeTint="98" w:sz="4" w:space="0"/>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customStyle="1">
    <w:name w:val="List Table 4 - Accent 1"/>
    <w:basedOn w:val="TableauNormal"/>
    <w:uiPriority w:val="99"/>
    <w:pPr>
      <w:spacing w:after="0" w:line="240" w:lineRule="auto"/>
    </w:pPr>
    <w:tblPr>
      <w:tblStyleRowBandSize w:val="1"/>
      <w:tblStyleColBandSize w:val="1"/>
      <w:tblBorders>
        <w:top w:val="single" w:color="50B4E2" w:themeColor="accent1" w:themeTint="90" w:sz="4" w:space="0"/>
        <w:left w:val="single" w:color="50B4E2" w:themeColor="accent1" w:themeTint="90" w:sz="4" w:space="0"/>
        <w:bottom w:val="single" w:color="50B4E2" w:themeColor="accent1" w:themeTint="90" w:sz="4" w:space="0"/>
        <w:right w:val="single" w:color="50B4E2" w:themeColor="accent1" w:themeTint="90" w:sz="4" w:space="0"/>
        <w:insideH w:val="single" w:color="50B4E2" w:themeColor="accent1" w:themeTint="90" w:sz="4" w:space="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styleId="ListTable4-Accent2" w:customStyle="1">
    <w:name w:val="List Table 4 - Accent 2"/>
    <w:basedOn w:val="TableauNormal"/>
    <w:uiPriority w:val="99"/>
    <w:pPr>
      <w:spacing w:after="0" w:line="240" w:lineRule="auto"/>
    </w:pPr>
    <w:tblPr>
      <w:tblStyleRowBandSize w:val="1"/>
      <w:tblStyleColBandSize w:val="1"/>
      <w:tblBorders>
        <w:top w:val="single" w:color="F2AE8B" w:themeColor="accent2" w:themeTint="90" w:sz="4" w:space="0"/>
        <w:left w:val="single" w:color="F2AE8B" w:themeColor="accent2" w:themeTint="90" w:sz="4" w:space="0"/>
        <w:bottom w:val="single" w:color="F2AE8B" w:themeColor="accent2" w:themeTint="90" w:sz="4" w:space="0"/>
        <w:right w:val="single" w:color="F2AE8B" w:themeColor="accent2" w:themeTint="90" w:sz="4" w:space="0"/>
        <w:insideH w:val="single" w:color="F2AE8B" w:themeColor="accent2" w:themeTint="90" w:sz="4" w:space="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styleId="ListTable4-Accent3" w:customStyle="1">
    <w:name w:val="List Table 4 - Accent 3"/>
    <w:basedOn w:val="TableauNormal"/>
    <w:uiPriority w:val="99"/>
    <w:pPr>
      <w:spacing w:after="0" w:line="240" w:lineRule="auto"/>
    </w:pPr>
    <w:tblPr>
      <w:tblStyleRowBandSize w:val="1"/>
      <w:tblStyleColBandSize w:val="1"/>
      <w:tblBorders>
        <w:top w:val="single" w:color="51D663" w:themeColor="accent3" w:themeTint="90" w:sz="4" w:space="0"/>
        <w:left w:val="single" w:color="51D663" w:themeColor="accent3" w:themeTint="90" w:sz="4" w:space="0"/>
        <w:bottom w:val="single" w:color="51D663" w:themeColor="accent3" w:themeTint="90" w:sz="4" w:space="0"/>
        <w:right w:val="single" w:color="51D663" w:themeColor="accent3" w:themeTint="90" w:sz="4" w:space="0"/>
        <w:insideH w:val="single" w:color="51D663" w:themeColor="accent3" w:themeTint="90" w:sz="4" w:space="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styleId="ListTable4-Accent4" w:customStyle="1">
    <w:name w:val="List Table 4 - Accent 4"/>
    <w:basedOn w:val="TableauNormal"/>
    <w:uiPriority w:val="99"/>
    <w:pPr>
      <w:spacing w:after="0" w:line="240" w:lineRule="auto"/>
    </w:pPr>
    <w:tblPr>
      <w:tblStyleRowBandSize w:val="1"/>
      <w:tblStyleColBandSize w:val="1"/>
      <w:tblBorders>
        <w:top w:val="single" w:color="6ACDF4" w:themeColor="accent4" w:themeTint="90" w:sz="4" w:space="0"/>
        <w:left w:val="single" w:color="6ACDF4" w:themeColor="accent4" w:themeTint="90" w:sz="4" w:space="0"/>
        <w:bottom w:val="single" w:color="6ACDF4" w:themeColor="accent4" w:themeTint="90" w:sz="4" w:space="0"/>
        <w:right w:val="single" w:color="6ACDF4" w:themeColor="accent4" w:themeTint="90" w:sz="4" w:space="0"/>
        <w:insideH w:val="single" w:color="6ACDF4" w:themeColor="accent4" w:themeTint="90" w:sz="4" w:space="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styleId="ListTable4-Accent5" w:customStyle="1">
    <w:name w:val="List Table 4 - Accent 5"/>
    <w:basedOn w:val="TableauNormal"/>
    <w:uiPriority w:val="99"/>
    <w:pPr>
      <w:spacing w:after="0" w:line="240" w:lineRule="auto"/>
    </w:pPr>
    <w:tblPr>
      <w:tblStyleRowBandSize w:val="1"/>
      <w:tblStyleColBandSize w:val="1"/>
      <w:tblBorders>
        <w:top w:val="single" w:color="DA76CE" w:themeColor="accent5" w:themeTint="90" w:sz="4" w:space="0"/>
        <w:left w:val="single" w:color="DA76CE" w:themeColor="accent5" w:themeTint="90" w:sz="4" w:space="0"/>
        <w:bottom w:val="single" w:color="DA76CE" w:themeColor="accent5" w:themeTint="90" w:sz="4" w:space="0"/>
        <w:right w:val="single" w:color="DA76CE" w:themeColor="accent5" w:themeTint="90" w:sz="4" w:space="0"/>
        <w:insideH w:val="single" w:color="DA76CE" w:themeColor="accent5" w:themeTint="90" w:sz="4" w:space="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styleId="ListTable4-Accent6" w:customStyle="1">
    <w:name w:val="List Table 4 - Accent 6"/>
    <w:basedOn w:val="TableauNormal"/>
    <w:uiPriority w:val="99"/>
    <w:pPr>
      <w:spacing w:after="0" w:line="240" w:lineRule="auto"/>
    </w:pPr>
    <w:tblPr>
      <w:tblStyleRowBandSize w:val="1"/>
      <w:tblStyleColBandSize w:val="1"/>
      <w:tblBorders>
        <w:top w:val="single" w:color="94DA7B" w:themeColor="accent6" w:themeTint="90" w:sz="4" w:space="0"/>
        <w:left w:val="single" w:color="94DA7B" w:themeColor="accent6" w:themeTint="90" w:sz="4" w:space="0"/>
        <w:bottom w:val="single" w:color="94DA7B" w:themeColor="accent6" w:themeTint="90" w:sz="4" w:space="0"/>
        <w:right w:val="single" w:color="94DA7B" w:themeColor="accent6" w:themeTint="90" w:sz="4" w:space="0"/>
        <w:insideH w:val="single" w:color="94DA7B" w:themeColor="accent6" w:themeTint="90" w:sz="4" w:space="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color="7F7F7F" w:themeColor="text1" w:themeTint="80" w:sz="32" w:space="0"/>
          <w:bottom w:val="single" w:color="FFFFFF" w:themeColor="light1" w:sz="12" w:space="0"/>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7F7F7F" w:themeColor="text1" w:themeTint="80" w:sz="32" w:space="0"/>
          <w:right w:val="single" w:color="FFFFFF" w:themeColor="light1" w:sz="4" w:space="0"/>
        </w:tcBorders>
      </w:tcPr>
    </w:tblStylePr>
    <w:tblStylePr w:type="lastCol">
      <w:tblPr/>
      <w:tcPr>
        <w:tcBorders>
          <w:left w:val="single" w:color="FFFFFF" w:themeColor="light1" w:sz="4" w:space="0"/>
          <w:right w:val="single" w:color="7F7F7F" w:themeColor="text1" w:themeTint="80" w:sz="32" w:space="0"/>
        </w:tcBorders>
      </w:tcPr>
    </w:tblStylePr>
    <w:tblStylePr w:type="band1Vert">
      <w:tblPr/>
      <w:tcPr>
        <w:tcBorders>
          <w:left w:val="single" w:color="FFFFFF" w:themeColor="light1" w:sz="4" w:space="0"/>
          <w:right w:val="single" w:color="FFFFFF" w:themeColor="light1" w:sz="4" w:space="0"/>
        </w:tcBorders>
        <w:shd w:val="clear" w:color="7F7F7F" w:themeColor="text1" w:themeTint="80" w:fill="7F7F7F" w:themeFill="text1" w:themeFillTint="80"/>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7F7F7F" w:themeColor="text1" w:themeTint="80" w:fill="7F7F7F" w:themeFill="text1" w:themeFillTint="80"/>
      </w:tcPr>
    </w:tblStylePr>
    <w:tblStylePr w:type="band2Horz">
      <w:tblPr/>
      <w:tcPr>
        <w:tcBorders>
          <w:top w:val="single" w:color="FFFFFF" w:themeColor="light1" w:sz="4" w:space="0"/>
          <w:bottom w:val="single" w:color="FFFFFF" w:themeColor="light1" w:sz="4" w:space="0"/>
        </w:tcBorders>
        <w:shd w:val="clear" w:color="7F7F7F" w:themeColor="text1" w:themeTint="80" w:fill="7F7F7F" w:themeFill="text1" w:themeFillTint="80"/>
      </w:tcPr>
    </w:tblStylePr>
  </w:style>
  <w:style w:type="table" w:styleId="ListTable5Dark-Accent1" w:customStyle="1">
    <w:name w:val="List Table 5 Dark - Accent 1"/>
    <w:basedOn w:val="TableauNormal"/>
    <w:uiPriority w:val="99"/>
    <w:pPr>
      <w:spacing w:after="0" w:line="240" w:lineRule="auto"/>
    </w:pPr>
    <w:tblPr>
      <w:tblStyleRowBandSize w:val="1"/>
      <w:tblStyleColBandSize w:val="1"/>
      <w:tblBorders>
        <w:top w:val="single" w:color="156082" w:themeColor="accent1" w:sz="32" w:space="0"/>
        <w:left w:val="single" w:color="156082" w:themeColor="accent1" w:sz="32" w:space="0"/>
        <w:bottom w:val="single" w:color="156082" w:themeColor="accent1" w:sz="32" w:space="0"/>
        <w:right w:val="single" w:color="156082" w:themeColor="accent1" w:sz="32" w:space="0"/>
      </w:tblBorders>
      <w:shd w:val="clear" w:color="156082" w:themeColor="accent1" w:fill="156082" w:themeFill="accent1"/>
    </w:tblPr>
    <w:tblStylePr w:type="firstRow">
      <w:rPr>
        <w:rFonts w:ascii="Arial" w:hAnsi="Arial"/>
        <w:b/>
        <w:color w:val="FFFFFF" w:themeColor="light1"/>
        <w:sz w:val="22"/>
      </w:rPr>
      <w:tblPr/>
      <w:tcPr>
        <w:tcBorders>
          <w:top w:val="single" w:color="156082" w:themeColor="accent1" w:sz="32" w:space="0"/>
          <w:bottom w:val="single" w:color="FFFFFF" w:themeColor="light1" w:sz="12" w:space="0"/>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156082" w:themeColor="accent1" w:sz="32" w:space="0"/>
          <w:right w:val="single" w:color="FFFFFF" w:themeColor="light1" w:sz="4" w:space="0"/>
        </w:tcBorders>
      </w:tcPr>
    </w:tblStylePr>
    <w:tblStylePr w:type="lastCol">
      <w:tblPr/>
      <w:tcPr>
        <w:tcBorders>
          <w:left w:val="single" w:color="FFFFFF" w:themeColor="light1" w:sz="4" w:space="0"/>
          <w:right w:val="single" w:color="156082" w:themeColor="accent1" w:sz="32" w:space="0"/>
        </w:tcBorders>
      </w:tcPr>
    </w:tblStylePr>
    <w:tblStylePr w:type="band1Vert">
      <w:tblPr/>
      <w:tcPr>
        <w:tcBorders>
          <w:left w:val="single" w:color="FFFFFF" w:themeColor="light1" w:sz="4" w:space="0"/>
          <w:right w:val="single" w:color="FFFFFF" w:themeColor="light1" w:sz="4" w:space="0"/>
        </w:tcBorders>
        <w:shd w:val="clear" w:color="156082" w:themeColor="accent1" w:fill="156082" w:themeFill="accent1"/>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156082" w:themeColor="accent1" w:fill="156082" w:themeFill="accent1"/>
      </w:tcPr>
    </w:tblStylePr>
    <w:tblStylePr w:type="band2Horz">
      <w:tblPr/>
      <w:tcPr>
        <w:tcBorders>
          <w:top w:val="single" w:color="FFFFFF" w:themeColor="light1" w:sz="4" w:space="0"/>
          <w:bottom w:val="single" w:color="FFFFFF" w:themeColor="light1" w:sz="4" w:space="0"/>
        </w:tcBorders>
        <w:shd w:val="clear" w:color="156082" w:themeColor="accent1" w:fill="156082" w:themeFill="accent1"/>
      </w:tcPr>
    </w:tblStylePr>
  </w:style>
  <w:style w:type="table" w:styleId="ListTable5Dark-Accent2" w:customStyle="1">
    <w:name w:val="List Table 5 Dark - Accent 2"/>
    <w:basedOn w:val="TableauNormal"/>
    <w:uiPriority w:val="99"/>
    <w:pPr>
      <w:spacing w:after="0" w:line="240" w:lineRule="auto"/>
    </w:pPr>
    <w:tblPr>
      <w:tblStyleRowBandSize w:val="1"/>
      <w:tblStyleColBandSize w:val="1"/>
      <w:tblBorders>
        <w:top w:val="single" w:color="F2AA85" w:themeColor="accent2" w:themeTint="97" w:sz="32" w:space="0"/>
        <w:left w:val="single" w:color="F2AA85" w:themeColor="accent2" w:themeTint="97" w:sz="32" w:space="0"/>
        <w:bottom w:val="single" w:color="F2AA85" w:themeColor="accent2" w:themeTint="97" w:sz="32" w:space="0"/>
        <w:right w:val="single" w:color="F2AA85" w:themeColor="accent2" w:themeTint="97" w:sz="32" w:space="0"/>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color="F2AA85" w:themeColor="accent2" w:themeTint="97" w:sz="32" w:space="0"/>
          <w:bottom w:val="single" w:color="FFFFFF" w:themeColor="light1" w:sz="12" w:space="0"/>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F2AA85" w:themeColor="accent2" w:themeTint="97" w:sz="32" w:space="0"/>
          <w:right w:val="single" w:color="FFFFFF" w:themeColor="light1" w:sz="4" w:space="0"/>
        </w:tcBorders>
      </w:tcPr>
    </w:tblStylePr>
    <w:tblStylePr w:type="lastCol">
      <w:tblPr/>
      <w:tcPr>
        <w:tcBorders>
          <w:left w:val="single" w:color="FFFFFF" w:themeColor="light1" w:sz="4" w:space="0"/>
          <w:right w:val="single" w:color="F2AA85" w:themeColor="accent2" w:themeTint="97" w:sz="32" w:space="0"/>
        </w:tcBorders>
      </w:tcPr>
    </w:tblStylePr>
    <w:tblStylePr w:type="band1Vert">
      <w:tblPr/>
      <w:tcPr>
        <w:tcBorders>
          <w:left w:val="single" w:color="FFFFFF" w:themeColor="light1" w:sz="4" w:space="0"/>
          <w:right w:val="single" w:color="FFFFFF" w:themeColor="light1" w:sz="4" w:space="0"/>
        </w:tcBorders>
        <w:shd w:val="clear" w:color="F2AA85" w:themeColor="accent2" w:themeTint="97" w:fill="F2AA85" w:themeFill="accent2" w:themeFillTint="97"/>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F2AA85" w:themeColor="accent2" w:themeTint="97" w:fill="F2AA85" w:themeFill="accent2" w:themeFillTint="97"/>
      </w:tcPr>
    </w:tblStylePr>
    <w:tblStylePr w:type="band2Horz">
      <w:tblPr/>
      <w:tcPr>
        <w:tcBorders>
          <w:top w:val="single" w:color="FFFFFF" w:themeColor="light1" w:sz="4" w:space="0"/>
          <w:bottom w:val="single" w:color="FFFFFF" w:themeColor="light1" w:sz="4" w:space="0"/>
        </w:tcBorders>
        <w:shd w:val="clear" w:color="F2AA85" w:themeColor="accent2" w:themeTint="97" w:fill="F2AA85" w:themeFill="accent2" w:themeFillTint="97"/>
      </w:tcPr>
    </w:tblStylePr>
  </w:style>
  <w:style w:type="table" w:styleId="ListTable5Dark-Accent3" w:customStyle="1">
    <w:name w:val="List Table 5 Dark - Accent 3"/>
    <w:basedOn w:val="TableauNormal"/>
    <w:uiPriority w:val="99"/>
    <w:pPr>
      <w:spacing w:after="0" w:line="240" w:lineRule="auto"/>
    </w:pPr>
    <w:tblPr>
      <w:tblStyleRowBandSize w:val="1"/>
      <w:tblStyleColBandSize w:val="1"/>
      <w:tblBorders>
        <w:top w:val="single" w:color="48D45B" w:themeColor="accent3" w:themeTint="98" w:sz="32" w:space="0"/>
        <w:left w:val="single" w:color="48D45B" w:themeColor="accent3" w:themeTint="98" w:sz="32" w:space="0"/>
        <w:bottom w:val="single" w:color="48D45B" w:themeColor="accent3" w:themeTint="98" w:sz="32" w:space="0"/>
        <w:right w:val="single" w:color="48D45B" w:themeColor="accent3" w:themeTint="98" w:sz="32" w:space="0"/>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color="48D45B" w:themeColor="accent3" w:themeTint="98" w:sz="32" w:space="0"/>
          <w:bottom w:val="single" w:color="FFFFFF" w:themeColor="light1" w:sz="12" w:space="0"/>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48D45B" w:themeColor="accent3" w:themeTint="98" w:sz="32" w:space="0"/>
          <w:right w:val="single" w:color="FFFFFF" w:themeColor="light1" w:sz="4" w:space="0"/>
        </w:tcBorders>
      </w:tcPr>
    </w:tblStylePr>
    <w:tblStylePr w:type="lastCol">
      <w:tblPr/>
      <w:tcPr>
        <w:tcBorders>
          <w:left w:val="single" w:color="FFFFFF" w:themeColor="light1" w:sz="4" w:space="0"/>
          <w:right w:val="single" w:color="48D45B" w:themeColor="accent3" w:themeTint="98" w:sz="32" w:space="0"/>
        </w:tcBorders>
      </w:tcPr>
    </w:tblStylePr>
    <w:tblStylePr w:type="band1Vert">
      <w:tblPr/>
      <w:tcPr>
        <w:tcBorders>
          <w:left w:val="single" w:color="FFFFFF" w:themeColor="light1" w:sz="4" w:space="0"/>
          <w:right w:val="single" w:color="FFFFFF" w:themeColor="light1" w:sz="4" w:space="0"/>
        </w:tcBorders>
        <w:shd w:val="clear" w:color="48D45B" w:themeColor="accent3" w:themeTint="98" w:fill="48D45B" w:themeFill="accent3"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48D45B" w:themeColor="accent3" w:themeTint="98" w:fill="48D45B" w:themeFill="accent3" w:themeFillTint="98"/>
      </w:tcPr>
    </w:tblStylePr>
    <w:tblStylePr w:type="band2Horz">
      <w:tblPr/>
      <w:tcPr>
        <w:tcBorders>
          <w:top w:val="single" w:color="FFFFFF" w:themeColor="light1" w:sz="4" w:space="0"/>
          <w:bottom w:val="single" w:color="FFFFFF" w:themeColor="light1" w:sz="4" w:space="0"/>
        </w:tcBorders>
        <w:shd w:val="clear" w:color="48D45B" w:themeColor="accent3" w:themeTint="98" w:fill="48D45B" w:themeFill="accent3" w:themeFillTint="98"/>
      </w:tcPr>
    </w:tblStylePr>
  </w:style>
  <w:style w:type="table" w:styleId="ListTable5Dark-Accent4" w:customStyle="1">
    <w:name w:val="List Table 5 Dark - Accent 4"/>
    <w:basedOn w:val="TableauNormal"/>
    <w:uiPriority w:val="99"/>
    <w:pPr>
      <w:spacing w:after="0" w:line="240" w:lineRule="auto"/>
    </w:pPr>
    <w:tblPr>
      <w:tblStyleRowBandSize w:val="1"/>
      <w:tblStyleColBandSize w:val="1"/>
      <w:tblBorders>
        <w:top w:val="single" w:color="5FCAF3" w:themeColor="accent4" w:themeTint="9A" w:sz="32" w:space="0"/>
        <w:left w:val="single" w:color="5FCAF3" w:themeColor="accent4" w:themeTint="9A" w:sz="32" w:space="0"/>
        <w:bottom w:val="single" w:color="5FCAF3" w:themeColor="accent4" w:themeTint="9A" w:sz="32" w:space="0"/>
        <w:right w:val="single" w:color="5FCAF3" w:themeColor="accent4" w:themeTint="9A" w:sz="32" w:space="0"/>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color="5FCAF3" w:themeColor="accent4" w:themeTint="9A" w:sz="32" w:space="0"/>
          <w:bottom w:val="single" w:color="FFFFFF" w:themeColor="light1" w:sz="12" w:space="0"/>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5FCAF3" w:themeColor="accent4" w:themeTint="9A" w:sz="32" w:space="0"/>
          <w:right w:val="single" w:color="FFFFFF" w:themeColor="light1" w:sz="4" w:space="0"/>
        </w:tcBorders>
      </w:tcPr>
    </w:tblStylePr>
    <w:tblStylePr w:type="lastCol">
      <w:tblPr/>
      <w:tcPr>
        <w:tcBorders>
          <w:left w:val="single" w:color="FFFFFF" w:themeColor="light1" w:sz="4" w:space="0"/>
          <w:right w:val="single" w:color="5FCAF3" w:themeColor="accent4" w:themeTint="9A" w:sz="32" w:space="0"/>
        </w:tcBorders>
      </w:tcPr>
    </w:tblStylePr>
    <w:tblStylePr w:type="band1Vert">
      <w:tblPr/>
      <w:tcPr>
        <w:tcBorders>
          <w:left w:val="single" w:color="FFFFFF" w:themeColor="light1" w:sz="4" w:space="0"/>
          <w:right w:val="single" w:color="FFFFFF" w:themeColor="light1" w:sz="4" w:space="0"/>
        </w:tcBorders>
        <w:shd w:val="clear" w:color="5FCAF3" w:themeColor="accent4" w:themeTint="9A" w:fill="5FCAF3" w:themeFill="accent4"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5FCAF3" w:themeColor="accent4" w:themeTint="9A" w:fill="5FCAF3" w:themeFill="accent4" w:themeFillTint="9A"/>
      </w:tcPr>
    </w:tblStylePr>
    <w:tblStylePr w:type="band2Horz">
      <w:tblPr/>
      <w:tcPr>
        <w:tcBorders>
          <w:top w:val="single" w:color="FFFFFF" w:themeColor="light1" w:sz="4" w:space="0"/>
          <w:bottom w:val="single" w:color="FFFFFF" w:themeColor="light1" w:sz="4" w:space="0"/>
        </w:tcBorders>
        <w:shd w:val="clear" w:color="5FCAF3" w:themeColor="accent4" w:themeTint="9A" w:fill="5FCAF3" w:themeFill="accent4" w:themeFillTint="9A"/>
      </w:tcPr>
    </w:tblStylePr>
  </w:style>
  <w:style w:type="table" w:styleId="ListTable5Dark-Accent5" w:customStyle="1">
    <w:name w:val="List Table 5 Dark - Accent 5"/>
    <w:basedOn w:val="TableauNormal"/>
    <w:uiPriority w:val="99"/>
    <w:pPr>
      <w:spacing w:after="0" w:line="240" w:lineRule="auto"/>
    </w:pPr>
    <w:tblPr>
      <w:tblStyleRowBandSize w:val="1"/>
      <w:tblStyleColBandSize w:val="1"/>
      <w:tblBorders>
        <w:top w:val="single" w:color="D76CCB" w:themeColor="accent5" w:themeTint="9A" w:sz="32" w:space="0"/>
        <w:left w:val="single" w:color="D76CCB" w:themeColor="accent5" w:themeTint="9A" w:sz="32" w:space="0"/>
        <w:bottom w:val="single" w:color="D76CCB" w:themeColor="accent5" w:themeTint="9A" w:sz="32" w:space="0"/>
        <w:right w:val="single" w:color="D76CCB" w:themeColor="accent5" w:themeTint="9A" w:sz="32" w:space="0"/>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color="D76CCB" w:themeColor="accent5" w:themeTint="9A" w:sz="32" w:space="0"/>
          <w:bottom w:val="single" w:color="FFFFFF" w:themeColor="light1" w:sz="12" w:space="0"/>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D76CCB" w:themeColor="accent5" w:themeTint="9A" w:sz="32" w:space="0"/>
          <w:right w:val="single" w:color="FFFFFF" w:themeColor="light1" w:sz="4" w:space="0"/>
        </w:tcBorders>
      </w:tcPr>
    </w:tblStylePr>
    <w:tblStylePr w:type="lastCol">
      <w:tblPr/>
      <w:tcPr>
        <w:tcBorders>
          <w:left w:val="single" w:color="FFFFFF" w:themeColor="light1" w:sz="4" w:space="0"/>
          <w:right w:val="single" w:color="D76CCB" w:themeColor="accent5" w:themeTint="9A" w:sz="32" w:space="0"/>
        </w:tcBorders>
      </w:tcPr>
    </w:tblStylePr>
    <w:tblStylePr w:type="band1Vert">
      <w:tblPr/>
      <w:tcPr>
        <w:tcBorders>
          <w:left w:val="single" w:color="FFFFFF" w:themeColor="light1" w:sz="4" w:space="0"/>
          <w:right w:val="single" w:color="FFFFFF" w:themeColor="light1" w:sz="4" w:space="0"/>
        </w:tcBorders>
        <w:shd w:val="clear" w:color="D76CCB" w:themeColor="accent5" w:themeTint="9A" w:fill="D76CCB" w:themeFill="accent5"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D76CCB" w:themeColor="accent5" w:themeTint="9A" w:fill="D76CCB" w:themeFill="accent5" w:themeFillTint="9A"/>
      </w:tcPr>
    </w:tblStylePr>
    <w:tblStylePr w:type="band2Horz">
      <w:tblPr/>
      <w:tcPr>
        <w:tcBorders>
          <w:top w:val="single" w:color="FFFFFF" w:themeColor="light1" w:sz="4" w:space="0"/>
          <w:bottom w:val="single" w:color="FFFFFF" w:themeColor="light1" w:sz="4" w:space="0"/>
        </w:tcBorders>
        <w:shd w:val="clear" w:color="D76CCB" w:themeColor="accent5" w:themeTint="9A" w:fill="D76CCB" w:themeFill="accent5" w:themeFillTint="9A"/>
      </w:tcPr>
    </w:tblStylePr>
  </w:style>
  <w:style w:type="table" w:styleId="ListTable5Dark-Accent6" w:customStyle="1">
    <w:name w:val="List Table 5 Dark - Accent 6"/>
    <w:basedOn w:val="TableauNormal"/>
    <w:uiPriority w:val="99"/>
    <w:pPr>
      <w:spacing w:after="0" w:line="240" w:lineRule="auto"/>
    </w:pPr>
    <w:tblPr>
      <w:tblStyleRowBandSize w:val="1"/>
      <w:tblStyleColBandSize w:val="1"/>
      <w:tblBorders>
        <w:top w:val="single" w:color="8ED873" w:themeColor="accent6" w:themeTint="98" w:sz="32" w:space="0"/>
        <w:left w:val="single" w:color="8ED873" w:themeColor="accent6" w:themeTint="98" w:sz="32" w:space="0"/>
        <w:bottom w:val="single" w:color="8ED873" w:themeColor="accent6" w:themeTint="98" w:sz="32" w:space="0"/>
        <w:right w:val="single" w:color="8ED873" w:themeColor="accent6" w:themeTint="98" w:sz="32" w:space="0"/>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color="8ED873" w:themeColor="accent6" w:themeTint="98" w:sz="32" w:space="0"/>
          <w:bottom w:val="single" w:color="FFFFFF" w:themeColor="light1" w:sz="12" w:space="0"/>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8ED873" w:themeColor="accent6" w:themeTint="98" w:sz="32" w:space="0"/>
          <w:right w:val="single" w:color="FFFFFF" w:themeColor="light1" w:sz="4" w:space="0"/>
        </w:tcBorders>
      </w:tcPr>
    </w:tblStylePr>
    <w:tblStylePr w:type="lastCol">
      <w:tblPr/>
      <w:tcPr>
        <w:tcBorders>
          <w:left w:val="single" w:color="FFFFFF" w:themeColor="light1" w:sz="4" w:space="0"/>
          <w:right w:val="single" w:color="8ED873" w:themeColor="accent6" w:themeTint="98" w:sz="32" w:space="0"/>
        </w:tcBorders>
      </w:tcPr>
    </w:tblStylePr>
    <w:tblStylePr w:type="band1Vert">
      <w:tblPr/>
      <w:tcPr>
        <w:tcBorders>
          <w:left w:val="single" w:color="FFFFFF" w:themeColor="light1" w:sz="4" w:space="0"/>
          <w:right w:val="single" w:color="FFFFFF" w:themeColor="light1" w:sz="4" w:space="0"/>
        </w:tcBorders>
        <w:shd w:val="clear" w:color="8ED873" w:themeColor="accent6" w:themeTint="98" w:fill="8ED873" w:themeFill="accent6"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8ED873" w:themeColor="accent6" w:themeTint="98" w:fill="8ED873" w:themeFill="accent6" w:themeFillTint="98"/>
      </w:tcPr>
    </w:tblStylePr>
    <w:tblStylePr w:type="band2Horz">
      <w:tblPr/>
      <w:tcPr>
        <w:tcBorders>
          <w:top w:val="single" w:color="FFFFFF" w:themeColor="light1" w:sz="4" w:space="0"/>
          <w:bottom w:val="single" w:color="FFFFFF" w:themeColor="light1" w:sz="4" w:space="0"/>
        </w:tcBorders>
        <w:shd w:val="clear" w:color="8ED873" w:themeColor="accent6" w:themeTint="98" w:fill="8ED873"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color w:val="000000" w:themeColor="text1"/>
      </w:rPr>
      <w:tblPr/>
      <w:tcPr>
        <w:tcBorders>
          <w:bottom w:val="single" w:color="7F7F7F" w:themeColor="text1" w:themeTint="80" w:sz="4" w:space="0"/>
        </w:tcBorders>
      </w:tcPr>
    </w:tblStylePr>
    <w:tblStylePr w:type="lastRow">
      <w:rPr>
        <w:b/>
        <w:color w:val="000000" w:themeColor="text1"/>
      </w:rPr>
      <w:tblPr/>
      <w:tcPr>
        <w:tcBorders>
          <w:top w:val="single" w:color="7F7F7F" w:themeColor="text1" w:themeTint="80" w:sz="4" w:space="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rful-Accent1" w:customStyle="1">
    <w:name w:val="List Table 6 Colorful - Accent 1"/>
    <w:basedOn w:val="TableauNormal"/>
    <w:uiPriority w:val="99"/>
    <w:pPr>
      <w:spacing w:after="0" w:line="240" w:lineRule="auto"/>
    </w:pPr>
    <w:tblPr>
      <w:tblStyleRowBandSize w:val="1"/>
      <w:tblStyleColBandSize w:val="1"/>
      <w:tblBorders>
        <w:top w:val="single" w:color="156082" w:themeColor="accent1" w:sz="4" w:space="0"/>
        <w:bottom w:val="single" w:color="156082" w:themeColor="accent1" w:sz="4" w:space="0"/>
      </w:tblBorders>
    </w:tblPr>
    <w:tblStylePr w:type="firstRow">
      <w:rPr>
        <w:b/>
        <w:color w:val="0C374B" w:themeColor="accent1" w:themeShade="95"/>
      </w:rPr>
      <w:tblPr/>
      <w:tcPr>
        <w:tcBorders>
          <w:bottom w:val="single" w:color="156082" w:themeColor="accent1" w:sz="4" w:space="0"/>
        </w:tcBorders>
      </w:tcPr>
    </w:tblStylePr>
    <w:tblStylePr w:type="lastRow">
      <w:rPr>
        <w:b/>
        <w:color w:val="0C374B" w:themeColor="accent1" w:themeShade="95"/>
      </w:rPr>
      <w:tblPr/>
      <w:tcPr>
        <w:tcBorders>
          <w:top w:val="single" w:color="156082" w:themeColor="accent1" w:sz="4" w:space="0"/>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styleId="ListTable6Colorful-Accent2" w:customStyle="1">
    <w:name w:val="List Table 6 Colorful - Accent 2"/>
    <w:basedOn w:val="TableauNormal"/>
    <w:uiPriority w:val="99"/>
    <w:pPr>
      <w:spacing w:after="0" w:line="240" w:lineRule="auto"/>
    </w:pPr>
    <w:tblPr>
      <w:tblStyleRowBandSize w:val="1"/>
      <w:tblStyleColBandSize w:val="1"/>
      <w:tblBorders>
        <w:top w:val="single" w:color="F2AA85" w:themeColor="accent2" w:themeTint="97" w:sz="4" w:space="0"/>
        <w:bottom w:val="single" w:color="F2AA85" w:themeColor="accent2" w:themeTint="97" w:sz="4" w:space="0"/>
      </w:tblBorders>
    </w:tblPr>
    <w:tblStylePr w:type="firstRow">
      <w:rPr>
        <w:b/>
        <w:color w:val="F2AA85" w:themeColor="accent2" w:themeTint="97" w:themeShade="95"/>
      </w:rPr>
      <w:tblPr/>
      <w:tcPr>
        <w:tcBorders>
          <w:bottom w:val="single" w:color="F2AA85" w:themeColor="accent2" w:themeTint="97" w:sz="4" w:space="0"/>
        </w:tcBorders>
      </w:tcPr>
    </w:tblStylePr>
    <w:tblStylePr w:type="lastRow">
      <w:rPr>
        <w:b/>
        <w:color w:val="F2AA85" w:themeColor="accent2" w:themeTint="97" w:themeShade="95"/>
      </w:rPr>
      <w:tblPr/>
      <w:tcPr>
        <w:tcBorders>
          <w:top w:val="single" w:color="F2AA85" w:themeColor="accent2" w:themeTint="97" w:sz="4" w:space="0"/>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styleId="ListTable6Colorful-Accent3" w:customStyle="1">
    <w:name w:val="List Table 6 Colorful - Accent 3"/>
    <w:basedOn w:val="TableauNormal"/>
    <w:uiPriority w:val="99"/>
    <w:pPr>
      <w:spacing w:after="0" w:line="240" w:lineRule="auto"/>
    </w:pPr>
    <w:tblPr>
      <w:tblStyleRowBandSize w:val="1"/>
      <w:tblStyleColBandSize w:val="1"/>
      <w:tblBorders>
        <w:top w:val="single" w:color="48D45B" w:themeColor="accent3" w:themeTint="98" w:sz="4" w:space="0"/>
        <w:bottom w:val="single" w:color="48D45B" w:themeColor="accent3" w:themeTint="98" w:sz="4" w:space="0"/>
      </w:tblBorders>
    </w:tblPr>
    <w:tblStylePr w:type="firstRow">
      <w:rPr>
        <w:b/>
        <w:color w:val="48D45B" w:themeColor="accent3" w:themeTint="98" w:themeShade="95"/>
      </w:rPr>
      <w:tblPr/>
      <w:tcPr>
        <w:tcBorders>
          <w:bottom w:val="single" w:color="48D45B" w:themeColor="accent3" w:themeTint="98" w:sz="4" w:space="0"/>
        </w:tcBorders>
      </w:tcPr>
    </w:tblStylePr>
    <w:tblStylePr w:type="lastRow">
      <w:rPr>
        <w:b/>
        <w:color w:val="48D45B" w:themeColor="accent3" w:themeTint="98" w:themeShade="95"/>
      </w:rPr>
      <w:tblPr/>
      <w:tcPr>
        <w:tcBorders>
          <w:top w:val="single" w:color="48D45B" w:themeColor="accent3" w:themeTint="98" w:sz="4" w:space="0"/>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styleId="ListTable6Colorful-Accent4" w:customStyle="1">
    <w:name w:val="List Table 6 Colorful - Accent 4"/>
    <w:basedOn w:val="TableauNormal"/>
    <w:uiPriority w:val="99"/>
    <w:pPr>
      <w:spacing w:after="0" w:line="240" w:lineRule="auto"/>
    </w:pPr>
    <w:tblPr>
      <w:tblStyleRowBandSize w:val="1"/>
      <w:tblStyleColBandSize w:val="1"/>
      <w:tblBorders>
        <w:top w:val="single" w:color="5FCAF3" w:themeColor="accent4" w:themeTint="9A" w:sz="4" w:space="0"/>
        <w:bottom w:val="single" w:color="5FCAF3" w:themeColor="accent4" w:themeTint="9A" w:sz="4" w:space="0"/>
      </w:tblBorders>
    </w:tblPr>
    <w:tblStylePr w:type="firstRow">
      <w:rPr>
        <w:b/>
        <w:color w:val="5FCAF3" w:themeColor="accent4" w:themeTint="9A" w:themeShade="95"/>
      </w:rPr>
      <w:tblPr/>
      <w:tcPr>
        <w:tcBorders>
          <w:bottom w:val="single" w:color="5FCAF3" w:themeColor="accent4" w:themeTint="9A" w:sz="4" w:space="0"/>
        </w:tcBorders>
      </w:tcPr>
    </w:tblStylePr>
    <w:tblStylePr w:type="lastRow">
      <w:rPr>
        <w:b/>
        <w:color w:val="5FCAF3" w:themeColor="accent4" w:themeTint="9A" w:themeShade="95"/>
      </w:rPr>
      <w:tblPr/>
      <w:tcPr>
        <w:tcBorders>
          <w:top w:val="single" w:color="5FCAF3" w:themeColor="accent4" w:themeTint="9A" w:sz="4" w:space="0"/>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styleId="ListTable6Colorful-Accent5" w:customStyle="1">
    <w:name w:val="List Table 6 Colorful - Accent 5"/>
    <w:basedOn w:val="TableauNormal"/>
    <w:uiPriority w:val="99"/>
    <w:pPr>
      <w:spacing w:after="0" w:line="240" w:lineRule="auto"/>
    </w:pPr>
    <w:tblPr>
      <w:tblStyleRowBandSize w:val="1"/>
      <w:tblStyleColBandSize w:val="1"/>
      <w:tblBorders>
        <w:top w:val="single" w:color="D76CCB" w:themeColor="accent5" w:themeTint="9A" w:sz="4" w:space="0"/>
        <w:bottom w:val="single" w:color="D76CCB" w:themeColor="accent5" w:themeTint="9A" w:sz="4" w:space="0"/>
      </w:tblBorders>
    </w:tblPr>
    <w:tblStylePr w:type="firstRow">
      <w:rPr>
        <w:b/>
        <w:color w:val="D76CCB" w:themeColor="accent5" w:themeTint="9A" w:themeShade="95"/>
      </w:rPr>
      <w:tblPr/>
      <w:tcPr>
        <w:tcBorders>
          <w:bottom w:val="single" w:color="D76CCB" w:themeColor="accent5" w:themeTint="9A" w:sz="4" w:space="0"/>
        </w:tcBorders>
      </w:tcPr>
    </w:tblStylePr>
    <w:tblStylePr w:type="lastRow">
      <w:rPr>
        <w:b/>
        <w:color w:val="D76CCB" w:themeColor="accent5" w:themeTint="9A" w:themeShade="95"/>
      </w:rPr>
      <w:tblPr/>
      <w:tcPr>
        <w:tcBorders>
          <w:top w:val="single" w:color="D76CCB" w:themeColor="accent5" w:themeTint="9A" w:sz="4" w:space="0"/>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styleId="ListTable6Colorful-Accent6" w:customStyle="1">
    <w:name w:val="List Table 6 Colorful - Accent 6"/>
    <w:basedOn w:val="TableauNormal"/>
    <w:uiPriority w:val="99"/>
    <w:pPr>
      <w:spacing w:after="0" w:line="240" w:lineRule="auto"/>
    </w:pPr>
    <w:tblPr>
      <w:tblStyleRowBandSize w:val="1"/>
      <w:tblStyleColBandSize w:val="1"/>
      <w:tblBorders>
        <w:top w:val="single" w:color="8ED873" w:themeColor="accent6" w:themeTint="98" w:sz="4" w:space="0"/>
        <w:bottom w:val="single" w:color="8ED873" w:themeColor="accent6" w:themeTint="98" w:sz="4" w:space="0"/>
      </w:tblBorders>
    </w:tblPr>
    <w:tblStylePr w:type="firstRow">
      <w:rPr>
        <w:b/>
        <w:color w:val="8ED873" w:themeColor="accent6" w:themeTint="98" w:themeShade="95"/>
      </w:rPr>
      <w:tblPr/>
      <w:tcPr>
        <w:tcBorders>
          <w:bottom w:val="single" w:color="8ED873" w:themeColor="accent6" w:themeTint="98" w:sz="4" w:space="0"/>
        </w:tcBorders>
      </w:tcPr>
    </w:tblStylePr>
    <w:tblStylePr w:type="lastRow">
      <w:rPr>
        <w:b/>
        <w:color w:val="8ED873" w:themeColor="accent6" w:themeTint="98" w:themeShade="95"/>
      </w:rPr>
      <w:tblPr/>
      <w:tcPr>
        <w:tcBorders>
          <w:top w:val="single" w:color="8ED873" w:themeColor="accent6" w:themeTint="98" w:sz="4" w:space="0"/>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color="7F7F7F" w:themeColor="text1" w:themeTint="80" w:sz="4" w:space="0"/>
      </w:tblBorders>
    </w:tblPr>
    <w:tblStylePr w:type="firstRow">
      <w:rPr>
        <w:rFonts w:ascii="Arial" w:hAnsi="Arial"/>
        <w:i/>
        <w:color w:val="7F7F7F" w:themeColor="text1" w:themeTint="80" w:themeShade="95"/>
        <w:sz w:val="22"/>
      </w:rPr>
      <w:tblPr/>
      <w:tcPr>
        <w:tcBorders>
          <w:top w:val="none" w:color="000000" w:sz="0" w:space="0"/>
          <w:left w:val="none" w:color="000000" w:sz="0" w:space="0"/>
          <w:bottom w:val="single" w:color="7F7F7F" w:themeColor="text1" w:themeTint="80" w:sz="4" w:space="0"/>
          <w:right w:val="none" w:color="000000" w:sz="0" w:space="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color="7F7F7F" w:themeColor="text1" w:themeTint="80" w:sz="4" w:space="0"/>
          <w:left w:val="none" w:color="000000" w:sz="0" w:space="0"/>
          <w:bottom w:val="none" w:color="000000" w:sz="0" w:space="0"/>
          <w:right w:val="none" w:color="000000" w:sz="0" w:space="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color="000000" w:sz="0" w:space="0"/>
          <w:left w:val="none" w:color="000000" w:sz="0" w:space="0"/>
          <w:bottom w:val="none" w:color="000000" w:sz="0" w:space="0"/>
          <w:right w:val="single" w:color="7F7F7F" w:themeColor="text1" w:themeTint="80" w:sz="4" w:space="0"/>
        </w:tcBorders>
        <w:shd w:val="clear" w:color="FFFFFF" w:fill="auto"/>
      </w:tcPr>
    </w:tblStylePr>
    <w:tblStylePr w:type="lastCol">
      <w:rPr>
        <w:rFonts w:ascii="Arial" w:hAnsi="Arial"/>
        <w:i/>
        <w:color w:val="7F7F7F" w:themeColor="text1" w:themeTint="80" w:themeShade="95"/>
        <w:sz w:val="22"/>
      </w:rPr>
      <w:tblPr/>
      <w:tcPr>
        <w:tcBorders>
          <w:top w:val="none" w:color="000000" w:sz="0" w:space="0"/>
          <w:left w:val="single" w:color="7F7F7F" w:themeColor="text1" w:themeTint="80" w:sz="4" w:space="0"/>
          <w:bottom w:val="none" w:color="000000" w:sz="0" w:space="0"/>
          <w:right w:val="none" w:color="000000" w:sz="0" w:space="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customStyle="1">
    <w:name w:val="List Table 7 Colorful - Accent 1"/>
    <w:basedOn w:val="TableauNormal"/>
    <w:uiPriority w:val="99"/>
    <w:pPr>
      <w:spacing w:after="0" w:line="240" w:lineRule="auto"/>
    </w:pPr>
    <w:tblPr>
      <w:tblStyleRowBandSize w:val="1"/>
      <w:tblStyleColBandSize w:val="1"/>
      <w:tblBorders>
        <w:right w:val="single" w:color="156082" w:themeColor="accent1" w:sz="4" w:space="0"/>
      </w:tblBorders>
    </w:tblPr>
    <w:tblStylePr w:type="firstRow">
      <w:rPr>
        <w:rFonts w:ascii="Arial" w:hAnsi="Arial"/>
        <w:i/>
        <w:color w:val="0C374B" w:themeColor="accent1" w:themeShade="95"/>
        <w:sz w:val="22"/>
      </w:rPr>
      <w:tblPr/>
      <w:tcPr>
        <w:tcBorders>
          <w:top w:val="none" w:color="000000" w:sz="0" w:space="0"/>
          <w:left w:val="none" w:color="000000" w:sz="0" w:space="0"/>
          <w:bottom w:val="single" w:color="156082" w:themeColor="accent1" w:sz="4" w:space="0"/>
          <w:right w:val="none" w:color="000000" w:sz="0" w:space="0"/>
        </w:tcBorders>
        <w:shd w:val="clear" w:color="FFFFFF" w:themeColor="light1" w:fill="FFFFFF" w:themeFill="light1"/>
      </w:tcPr>
    </w:tblStylePr>
    <w:tblStylePr w:type="lastRow">
      <w:rPr>
        <w:rFonts w:ascii="Arial" w:hAnsi="Arial"/>
        <w:i/>
        <w:color w:val="0C374B" w:themeColor="accent1" w:themeShade="95"/>
        <w:sz w:val="22"/>
      </w:rPr>
      <w:tblPr/>
      <w:tcPr>
        <w:tcBorders>
          <w:top w:val="single" w:color="156082" w:themeColor="accent1" w:sz="4" w:space="0"/>
          <w:left w:val="none" w:color="000000" w:sz="0" w:space="0"/>
          <w:bottom w:val="none" w:color="000000" w:sz="0" w:space="0"/>
          <w:right w:val="none" w:color="000000" w:sz="0" w:space="0"/>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color="000000" w:sz="0" w:space="0"/>
          <w:left w:val="none" w:color="000000" w:sz="0" w:space="0"/>
          <w:bottom w:val="none" w:color="000000" w:sz="0" w:space="0"/>
          <w:right w:val="single" w:color="156082" w:themeColor="accent1" w:sz="4" w:space="0"/>
        </w:tcBorders>
        <w:shd w:val="clear" w:color="FFFFFF" w:fill="auto"/>
      </w:tcPr>
    </w:tblStylePr>
    <w:tblStylePr w:type="lastCol">
      <w:rPr>
        <w:rFonts w:ascii="Arial" w:hAnsi="Arial"/>
        <w:i/>
        <w:color w:val="0C374B" w:themeColor="accent1" w:themeShade="95"/>
        <w:sz w:val="22"/>
      </w:rPr>
      <w:tblPr/>
      <w:tcPr>
        <w:tcBorders>
          <w:top w:val="none" w:color="000000" w:sz="0" w:space="0"/>
          <w:left w:val="single" w:color="156082" w:themeColor="accent1" w:sz="4" w:space="0"/>
          <w:bottom w:val="none" w:color="000000" w:sz="0" w:space="0"/>
          <w:right w:val="none" w:color="000000" w:sz="0" w:space="0"/>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styleId="ListTable7Colorful-Accent2" w:customStyle="1">
    <w:name w:val="List Table 7 Colorful - Accent 2"/>
    <w:basedOn w:val="TableauNormal"/>
    <w:uiPriority w:val="99"/>
    <w:pPr>
      <w:spacing w:after="0" w:line="240" w:lineRule="auto"/>
    </w:pPr>
    <w:tblPr>
      <w:tblStyleRowBandSize w:val="1"/>
      <w:tblStyleColBandSize w:val="1"/>
      <w:tblBorders>
        <w:right w:val="single" w:color="F2AA85" w:themeColor="accent2" w:themeTint="97" w:sz="4" w:space="0"/>
      </w:tblBorders>
    </w:tblPr>
    <w:tblStylePr w:type="firstRow">
      <w:rPr>
        <w:rFonts w:ascii="Arial" w:hAnsi="Arial"/>
        <w:i/>
        <w:color w:val="F2AA85" w:themeColor="accent2" w:themeTint="97" w:themeShade="95"/>
        <w:sz w:val="22"/>
      </w:rPr>
      <w:tblPr/>
      <w:tcPr>
        <w:tcBorders>
          <w:top w:val="none" w:color="000000" w:sz="0" w:space="0"/>
          <w:left w:val="none" w:color="000000" w:sz="0" w:space="0"/>
          <w:bottom w:val="single" w:color="F2AA85" w:themeColor="accent2" w:themeTint="97" w:sz="4" w:space="0"/>
          <w:right w:val="none" w:color="000000" w:sz="0" w:space="0"/>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color="F2AA85" w:themeColor="accent2" w:themeTint="97" w:sz="4" w:space="0"/>
          <w:left w:val="none" w:color="000000" w:sz="0" w:space="0"/>
          <w:bottom w:val="none" w:color="000000" w:sz="0" w:space="0"/>
          <w:right w:val="none" w:color="000000" w:sz="0" w:space="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color="000000" w:sz="0" w:space="0"/>
          <w:left w:val="none" w:color="000000" w:sz="0" w:space="0"/>
          <w:bottom w:val="none" w:color="000000" w:sz="0" w:space="0"/>
          <w:right w:val="single" w:color="F2AA85" w:themeColor="accent2" w:themeTint="97" w:sz="4" w:space="0"/>
        </w:tcBorders>
        <w:shd w:val="clear" w:color="FFFFFF" w:fill="auto"/>
      </w:tcPr>
    </w:tblStylePr>
    <w:tblStylePr w:type="lastCol">
      <w:rPr>
        <w:rFonts w:ascii="Arial" w:hAnsi="Arial"/>
        <w:i/>
        <w:color w:val="F2AA85" w:themeColor="accent2" w:themeTint="97" w:themeShade="95"/>
        <w:sz w:val="22"/>
      </w:rPr>
      <w:tblPr/>
      <w:tcPr>
        <w:tcBorders>
          <w:top w:val="none" w:color="000000" w:sz="0" w:space="0"/>
          <w:left w:val="single" w:color="F2AA85" w:themeColor="accent2" w:themeTint="97" w:sz="4" w:space="0"/>
          <w:bottom w:val="none" w:color="000000" w:sz="0" w:space="0"/>
          <w:right w:val="none" w:color="000000" w:sz="0" w:space="0"/>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styleId="ListTable7Colorful-Accent3" w:customStyle="1">
    <w:name w:val="List Table 7 Colorful - Accent 3"/>
    <w:basedOn w:val="TableauNormal"/>
    <w:uiPriority w:val="99"/>
    <w:pPr>
      <w:spacing w:after="0" w:line="240" w:lineRule="auto"/>
    </w:pPr>
    <w:tblPr>
      <w:tblStyleRowBandSize w:val="1"/>
      <w:tblStyleColBandSize w:val="1"/>
      <w:tblBorders>
        <w:right w:val="single" w:color="48D45B" w:themeColor="accent3" w:themeTint="98" w:sz="4" w:space="0"/>
      </w:tblBorders>
    </w:tblPr>
    <w:tblStylePr w:type="firstRow">
      <w:rPr>
        <w:rFonts w:ascii="Arial" w:hAnsi="Arial"/>
        <w:i/>
        <w:color w:val="48D45B" w:themeColor="accent3" w:themeTint="98" w:themeShade="95"/>
        <w:sz w:val="22"/>
      </w:rPr>
      <w:tblPr/>
      <w:tcPr>
        <w:tcBorders>
          <w:top w:val="none" w:color="000000" w:sz="0" w:space="0"/>
          <w:left w:val="none" w:color="000000" w:sz="0" w:space="0"/>
          <w:bottom w:val="single" w:color="48D45B" w:themeColor="accent3" w:themeTint="98" w:sz="4" w:space="0"/>
          <w:right w:val="none" w:color="000000" w:sz="0" w:space="0"/>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color="48D45B" w:themeColor="accent3" w:themeTint="98" w:sz="4" w:space="0"/>
          <w:left w:val="none" w:color="000000" w:sz="0" w:space="0"/>
          <w:bottom w:val="none" w:color="000000" w:sz="0" w:space="0"/>
          <w:right w:val="none" w:color="000000" w:sz="0" w:space="0"/>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color="000000" w:sz="0" w:space="0"/>
          <w:left w:val="none" w:color="000000" w:sz="0" w:space="0"/>
          <w:bottom w:val="none" w:color="000000" w:sz="0" w:space="0"/>
          <w:right w:val="single" w:color="48D45B" w:themeColor="accent3" w:themeTint="98" w:sz="4" w:space="0"/>
        </w:tcBorders>
        <w:shd w:val="clear" w:color="FFFFFF" w:fill="auto"/>
      </w:tcPr>
    </w:tblStylePr>
    <w:tblStylePr w:type="lastCol">
      <w:rPr>
        <w:rFonts w:ascii="Arial" w:hAnsi="Arial"/>
        <w:i/>
        <w:color w:val="48D45B" w:themeColor="accent3" w:themeTint="98" w:themeShade="95"/>
        <w:sz w:val="22"/>
      </w:rPr>
      <w:tblPr/>
      <w:tcPr>
        <w:tcBorders>
          <w:top w:val="none" w:color="000000" w:sz="0" w:space="0"/>
          <w:left w:val="single" w:color="48D45B" w:themeColor="accent3" w:themeTint="98" w:sz="4" w:space="0"/>
          <w:bottom w:val="none" w:color="000000" w:sz="0" w:space="0"/>
          <w:right w:val="none" w:color="000000" w:sz="0" w:space="0"/>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styleId="ListTable7Colorful-Accent4" w:customStyle="1">
    <w:name w:val="List Table 7 Colorful - Accent 4"/>
    <w:basedOn w:val="TableauNormal"/>
    <w:uiPriority w:val="99"/>
    <w:pPr>
      <w:spacing w:after="0" w:line="240" w:lineRule="auto"/>
    </w:pPr>
    <w:tblPr>
      <w:tblStyleRowBandSize w:val="1"/>
      <w:tblStyleColBandSize w:val="1"/>
      <w:tblBorders>
        <w:right w:val="single" w:color="5FCAF3" w:themeColor="accent4" w:themeTint="9A" w:sz="4" w:space="0"/>
      </w:tblBorders>
    </w:tblPr>
    <w:tblStylePr w:type="firstRow">
      <w:rPr>
        <w:rFonts w:ascii="Arial" w:hAnsi="Arial"/>
        <w:i/>
        <w:color w:val="5FCAF3" w:themeColor="accent4" w:themeTint="9A" w:themeShade="95"/>
        <w:sz w:val="22"/>
      </w:rPr>
      <w:tblPr/>
      <w:tcPr>
        <w:tcBorders>
          <w:top w:val="none" w:color="000000" w:sz="0" w:space="0"/>
          <w:left w:val="none" w:color="000000" w:sz="0" w:space="0"/>
          <w:bottom w:val="single" w:color="5FCAF3" w:themeColor="accent4" w:themeTint="9A" w:sz="4" w:space="0"/>
          <w:right w:val="none" w:color="000000" w:sz="0" w:space="0"/>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color="5FCAF3" w:themeColor="accent4" w:themeTint="9A" w:sz="4" w:space="0"/>
          <w:left w:val="none" w:color="000000" w:sz="0" w:space="0"/>
          <w:bottom w:val="none" w:color="000000" w:sz="0" w:space="0"/>
          <w:right w:val="none" w:color="000000" w:sz="0" w:space="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color="000000" w:sz="0" w:space="0"/>
          <w:left w:val="none" w:color="000000" w:sz="0" w:space="0"/>
          <w:bottom w:val="none" w:color="000000" w:sz="0" w:space="0"/>
          <w:right w:val="single" w:color="5FCAF3" w:themeColor="accent4" w:themeTint="9A" w:sz="4" w:space="0"/>
        </w:tcBorders>
        <w:shd w:val="clear" w:color="FFFFFF" w:fill="auto"/>
      </w:tcPr>
    </w:tblStylePr>
    <w:tblStylePr w:type="lastCol">
      <w:rPr>
        <w:rFonts w:ascii="Arial" w:hAnsi="Arial"/>
        <w:i/>
        <w:color w:val="5FCAF3" w:themeColor="accent4" w:themeTint="9A" w:themeShade="95"/>
        <w:sz w:val="22"/>
      </w:rPr>
      <w:tblPr/>
      <w:tcPr>
        <w:tcBorders>
          <w:top w:val="none" w:color="000000" w:sz="0" w:space="0"/>
          <w:left w:val="single" w:color="5FCAF3" w:themeColor="accent4" w:themeTint="9A" w:sz="4" w:space="0"/>
          <w:bottom w:val="none" w:color="000000" w:sz="0" w:space="0"/>
          <w:right w:val="none" w:color="000000" w:sz="0" w:space="0"/>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styleId="ListTable7Colorful-Accent5" w:customStyle="1">
    <w:name w:val="List Table 7 Colorful - Accent 5"/>
    <w:basedOn w:val="TableauNormal"/>
    <w:uiPriority w:val="99"/>
    <w:pPr>
      <w:spacing w:after="0" w:line="240" w:lineRule="auto"/>
    </w:pPr>
    <w:tblPr>
      <w:tblStyleRowBandSize w:val="1"/>
      <w:tblStyleColBandSize w:val="1"/>
      <w:tblBorders>
        <w:right w:val="single" w:color="D76CCB" w:themeColor="accent5" w:themeTint="9A" w:sz="4" w:space="0"/>
      </w:tblBorders>
    </w:tblPr>
    <w:tblStylePr w:type="firstRow">
      <w:rPr>
        <w:rFonts w:ascii="Arial" w:hAnsi="Arial"/>
        <w:i/>
        <w:color w:val="D76CCB" w:themeColor="accent5" w:themeTint="9A" w:themeShade="95"/>
        <w:sz w:val="22"/>
      </w:rPr>
      <w:tblPr/>
      <w:tcPr>
        <w:tcBorders>
          <w:top w:val="none" w:color="000000" w:sz="0" w:space="0"/>
          <w:left w:val="none" w:color="000000" w:sz="0" w:space="0"/>
          <w:bottom w:val="single" w:color="D76CCB" w:themeColor="accent5" w:themeTint="9A" w:sz="4" w:space="0"/>
          <w:right w:val="none" w:color="000000" w:sz="0" w:space="0"/>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color="D76CCB" w:themeColor="accent5" w:themeTint="9A" w:sz="4" w:space="0"/>
          <w:left w:val="none" w:color="000000" w:sz="0" w:space="0"/>
          <w:bottom w:val="none" w:color="000000" w:sz="0" w:space="0"/>
          <w:right w:val="none" w:color="000000" w:sz="0" w:space="0"/>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color="000000" w:sz="0" w:space="0"/>
          <w:left w:val="none" w:color="000000" w:sz="0" w:space="0"/>
          <w:bottom w:val="none" w:color="000000" w:sz="0" w:space="0"/>
          <w:right w:val="single" w:color="D76CCB" w:themeColor="accent5" w:themeTint="9A" w:sz="4" w:space="0"/>
        </w:tcBorders>
        <w:shd w:val="clear" w:color="FFFFFF" w:fill="auto"/>
      </w:tcPr>
    </w:tblStylePr>
    <w:tblStylePr w:type="lastCol">
      <w:rPr>
        <w:rFonts w:ascii="Arial" w:hAnsi="Arial"/>
        <w:i/>
        <w:color w:val="D76CCB" w:themeColor="accent5" w:themeTint="9A" w:themeShade="95"/>
        <w:sz w:val="22"/>
      </w:rPr>
      <w:tblPr/>
      <w:tcPr>
        <w:tcBorders>
          <w:top w:val="none" w:color="000000" w:sz="0" w:space="0"/>
          <w:left w:val="single" w:color="D76CCB" w:themeColor="accent5" w:themeTint="9A" w:sz="4" w:space="0"/>
          <w:bottom w:val="none" w:color="000000" w:sz="0" w:space="0"/>
          <w:right w:val="none" w:color="000000" w:sz="0" w:space="0"/>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styleId="ListTable7Colorful-Accent6" w:customStyle="1">
    <w:name w:val="List Table 7 Colorful - Accent 6"/>
    <w:basedOn w:val="TableauNormal"/>
    <w:uiPriority w:val="99"/>
    <w:pPr>
      <w:spacing w:after="0" w:line="240" w:lineRule="auto"/>
    </w:pPr>
    <w:tblPr>
      <w:tblStyleRowBandSize w:val="1"/>
      <w:tblStyleColBandSize w:val="1"/>
      <w:tblBorders>
        <w:right w:val="single" w:color="8ED873" w:themeColor="accent6" w:themeTint="98" w:sz="4" w:space="0"/>
      </w:tblBorders>
    </w:tblPr>
    <w:tblStylePr w:type="firstRow">
      <w:rPr>
        <w:rFonts w:ascii="Arial" w:hAnsi="Arial"/>
        <w:i/>
        <w:color w:val="8ED873" w:themeColor="accent6" w:themeTint="98" w:themeShade="95"/>
        <w:sz w:val="22"/>
      </w:rPr>
      <w:tblPr/>
      <w:tcPr>
        <w:tcBorders>
          <w:top w:val="none" w:color="000000" w:sz="0" w:space="0"/>
          <w:left w:val="none" w:color="000000" w:sz="0" w:space="0"/>
          <w:bottom w:val="single" w:color="8ED873" w:themeColor="accent6" w:themeTint="98" w:sz="4" w:space="0"/>
          <w:right w:val="none" w:color="000000" w:sz="0" w:space="0"/>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color="8ED873" w:themeColor="accent6" w:themeTint="98" w:sz="4" w:space="0"/>
          <w:left w:val="none" w:color="000000" w:sz="0" w:space="0"/>
          <w:bottom w:val="none" w:color="000000" w:sz="0" w:space="0"/>
          <w:right w:val="none" w:color="000000" w:sz="0" w:space="0"/>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color="000000" w:sz="0" w:space="0"/>
          <w:left w:val="none" w:color="000000" w:sz="0" w:space="0"/>
          <w:bottom w:val="none" w:color="000000" w:sz="0" w:space="0"/>
          <w:right w:val="single" w:color="8ED873" w:themeColor="accent6" w:themeTint="98" w:sz="4" w:space="0"/>
        </w:tcBorders>
        <w:shd w:val="clear" w:color="FFFFFF" w:fill="auto"/>
      </w:tcPr>
    </w:tblStylePr>
    <w:tblStylePr w:type="lastCol">
      <w:rPr>
        <w:rFonts w:ascii="Arial" w:hAnsi="Arial"/>
        <w:i/>
        <w:color w:val="8ED873" w:themeColor="accent6" w:themeTint="98" w:themeShade="95"/>
        <w:sz w:val="22"/>
      </w:rPr>
      <w:tblPr/>
      <w:tcPr>
        <w:tcBorders>
          <w:top w:val="none" w:color="000000" w:sz="0" w:space="0"/>
          <w:left w:val="single" w:color="8ED873" w:themeColor="accent6" w:themeTint="98" w:sz="4" w:space="0"/>
          <w:bottom w:val="none" w:color="000000" w:sz="0" w:space="0"/>
          <w:right w:val="none" w:color="000000" w:sz="0" w:space="0"/>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styleId="Lined-Accent" w:customStyle="1">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styleId="Lined-Accent1" w:customStyle="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styleId="Lined-Accent2" w:customStyle="1">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styleId="Lined-Accent3" w:customStyle="1">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styleId="Lined-Accent4" w:customStyle="1">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styleId="Lined-Accent5" w:customStyle="1">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styleId="Lined-Accent6" w:customStyle="1">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styleId="BorderedLined-Accent" w:customStyle="1">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styleId="BorderedLined-Accent1" w:customStyle="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color="0C374B" w:themeColor="accent1" w:themeShade="95" w:sz="4" w:space="0"/>
        <w:left w:val="single" w:color="0C374B" w:themeColor="accent1" w:themeShade="95" w:sz="4" w:space="0"/>
        <w:bottom w:val="single" w:color="0C374B" w:themeColor="accent1" w:themeShade="95" w:sz="4" w:space="0"/>
        <w:right w:val="single" w:color="0C374B" w:themeColor="accent1" w:themeShade="95" w:sz="4" w:space="0"/>
        <w:insideH w:val="single" w:color="0C374B" w:themeColor="accent1" w:themeShade="95" w:sz="4" w:space="0"/>
        <w:insideV w:val="single" w:color="0C374B" w:themeColor="accent1" w:themeShade="95" w:sz="4" w:space="0"/>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styleId="BorderedLined-Accent2" w:customStyle="1">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color="953D10" w:themeColor="accent2" w:themeShade="95" w:sz="4" w:space="0"/>
        <w:left w:val="single" w:color="953D10" w:themeColor="accent2" w:themeShade="95" w:sz="4" w:space="0"/>
        <w:bottom w:val="single" w:color="953D10" w:themeColor="accent2" w:themeShade="95" w:sz="4" w:space="0"/>
        <w:right w:val="single" w:color="953D10" w:themeColor="accent2" w:themeShade="95" w:sz="4" w:space="0"/>
        <w:insideH w:val="single" w:color="953D10" w:themeColor="accent2" w:themeShade="95" w:sz="4" w:space="0"/>
        <w:insideV w:val="single" w:color="953D10" w:themeColor="accent2" w:themeShade="95" w:sz="4" w:space="0"/>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styleId="BorderedLined-Accent3" w:customStyle="1">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color="0E3E15" w:themeColor="accent3" w:themeShade="95" w:sz="4" w:space="0"/>
        <w:left w:val="single" w:color="0E3E15" w:themeColor="accent3" w:themeShade="95" w:sz="4" w:space="0"/>
        <w:bottom w:val="single" w:color="0E3E15" w:themeColor="accent3" w:themeShade="95" w:sz="4" w:space="0"/>
        <w:right w:val="single" w:color="0E3E15" w:themeColor="accent3" w:themeShade="95" w:sz="4" w:space="0"/>
        <w:insideH w:val="single" w:color="0E3E15" w:themeColor="accent3" w:themeShade="95" w:sz="4" w:space="0"/>
        <w:insideV w:val="single" w:color="0E3E15" w:themeColor="accent3" w:themeShade="95" w:sz="4" w:space="0"/>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styleId="BorderedLined-Accent4" w:customStyle="1">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color="085C7C" w:themeColor="accent4" w:themeShade="95" w:sz="4" w:space="0"/>
        <w:left w:val="single" w:color="085C7C" w:themeColor="accent4" w:themeShade="95" w:sz="4" w:space="0"/>
        <w:bottom w:val="single" w:color="085C7C" w:themeColor="accent4" w:themeShade="95" w:sz="4" w:space="0"/>
        <w:right w:val="single" w:color="085C7C" w:themeColor="accent4" w:themeShade="95" w:sz="4" w:space="0"/>
        <w:insideH w:val="single" w:color="085C7C" w:themeColor="accent4" w:themeShade="95" w:sz="4" w:space="0"/>
        <w:insideV w:val="single" w:color="085C7C" w:themeColor="accent4" w:themeShade="95" w:sz="4" w:space="0"/>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styleId="BorderedLined-Accent5" w:customStyle="1">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color="5D1955" w:themeColor="accent5" w:themeShade="95" w:sz="4" w:space="0"/>
        <w:left w:val="single" w:color="5D1955" w:themeColor="accent5" w:themeShade="95" w:sz="4" w:space="0"/>
        <w:bottom w:val="single" w:color="5D1955" w:themeColor="accent5" w:themeShade="95" w:sz="4" w:space="0"/>
        <w:right w:val="single" w:color="5D1955" w:themeColor="accent5" w:themeShade="95" w:sz="4" w:space="0"/>
        <w:insideH w:val="single" w:color="5D1955" w:themeColor="accent5" w:themeShade="95" w:sz="4" w:space="0"/>
        <w:insideV w:val="single" w:color="5D1955" w:themeColor="accent5" w:themeShade="95" w:sz="4" w:space="0"/>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styleId="BorderedLined-Accent6" w:customStyle="1">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color="2D611B" w:themeColor="accent6" w:themeShade="95" w:sz="4" w:space="0"/>
        <w:left w:val="single" w:color="2D611B" w:themeColor="accent6" w:themeShade="95" w:sz="4" w:space="0"/>
        <w:bottom w:val="single" w:color="2D611B" w:themeColor="accent6" w:themeShade="95" w:sz="4" w:space="0"/>
        <w:right w:val="single" w:color="2D611B" w:themeColor="accent6" w:themeShade="95" w:sz="4" w:space="0"/>
        <w:insideH w:val="single" w:color="2D611B" w:themeColor="accent6" w:themeShade="95" w:sz="4" w:space="0"/>
        <w:insideV w:val="single" w:color="2D611B" w:themeColor="accent6" w:themeShade="95" w:sz="4" w:space="0"/>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styleId="Bordered" w:customStyle="1">
    <w:name w:val="Bordered"/>
    <w:basedOn w:val="TableauNormal"/>
    <w:uiPriority w:val="99"/>
    <w:pPr>
      <w:spacing w:after="0" w:line="240" w:lineRule="auto"/>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firstRow">
      <w:rPr>
        <w:rFonts w:ascii="Arial" w:hAnsi="Arial"/>
        <w:color w:val="404040"/>
        <w:sz w:val="22"/>
      </w:rPr>
      <w:tblPr/>
      <w:tcPr>
        <w:tcBorders>
          <w:bottom w:val="single" w:color="7F7F7F" w:themeColor="text1" w:themeTint="80" w:sz="12" w:space="0"/>
        </w:tcBorders>
      </w:tcPr>
    </w:tblStylePr>
    <w:tblStylePr w:type="lastRow">
      <w:rPr>
        <w:rFonts w:ascii="Arial" w:hAnsi="Arial"/>
        <w:color w:val="404040"/>
        <w:sz w:val="22"/>
      </w:rPr>
      <w:tblPr/>
      <w:tcPr>
        <w:tcBorders>
          <w:top w:val="single" w:color="7F7F7F"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7F7F7F" w:themeColor="text1" w:themeTint="80" w:sz="12" w:space="0"/>
        </w:tcBorders>
      </w:tcPr>
    </w:tblStylePr>
    <w:tblStylePr w:type="band1Horz">
      <w:rPr>
        <w:rFonts w:ascii="Arial" w:hAnsi="Arial"/>
        <w:color w:val="404040"/>
        <w:sz w:val="22"/>
      </w:rPr>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style>
  <w:style w:type="table" w:styleId="Bordered-Accent1" w:customStyle="1">
    <w:name w:val="Bordered - Accent 1"/>
    <w:basedOn w:val="TableauNormal"/>
    <w:uiPriority w:val="99"/>
    <w:pPr>
      <w:spacing w:after="0" w:line="240" w:lineRule="auto"/>
    </w:pPr>
    <w:tblPr>
      <w:tblStyleRowBandSize w:val="1"/>
      <w:tblStyleColBandSize w:val="1"/>
      <w:tblBorders>
        <w:top w:val="single" w:color="81C9EA" w:themeColor="accent1" w:themeTint="67" w:sz="4" w:space="0"/>
        <w:left w:val="single" w:color="81C9EA" w:themeColor="accent1" w:themeTint="67" w:sz="4" w:space="0"/>
        <w:bottom w:val="single" w:color="81C9EA" w:themeColor="accent1" w:themeTint="67" w:sz="4" w:space="0"/>
        <w:right w:val="single" w:color="81C9EA" w:themeColor="accent1" w:themeTint="67" w:sz="4" w:space="0"/>
        <w:insideH w:val="single" w:color="81C9EA" w:themeColor="accent1" w:themeTint="67" w:sz="4" w:space="0"/>
        <w:insideV w:val="single" w:color="81C9EA" w:themeColor="accent1" w:themeTint="67" w:sz="4" w:space="0"/>
      </w:tblBorders>
    </w:tblPr>
    <w:tblStylePr w:type="firstRow">
      <w:rPr>
        <w:rFonts w:ascii="Arial" w:hAnsi="Arial"/>
        <w:color w:val="404040"/>
        <w:sz w:val="22"/>
      </w:rPr>
      <w:tblPr/>
      <w:tcPr>
        <w:tcBorders>
          <w:bottom w:val="single" w:color="156082" w:themeColor="accent1" w:sz="12" w:space="0"/>
        </w:tcBorders>
      </w:tcPr>
    </w:tblStylePr>
    <w:tblStylePr w:type="lastRow">
      <w:rPr>
        <w:rFonts w:ascii="Arial" w:hAnsi="Arial"/>
        <w:color w:val="404040"/>
        <w:sz w:val="22"/>
      </w:rPr>
      <w:tblPr/>
      <w:tcPr>
        <w:tcBorders>
          <w:top w:val="single" w:color="156082" w:themeColor="accent1"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156082" w:themeColor="accent1" w:sz="12" w:space="0"/>
        </w:tcBorders>
      </w:tcPr>
    </w:tblStylePr>
    <w:tblStylePr w:type="band1Horz">
      <w:rPr>
        <w:rFonts w:ascii="Arial" w:hAnsi="Arial"/>
        <w:color w:val="404040"/>
        <w:sz w:val="22"/>
      </w:rPr>
      <w:tblPr/>
      <w:tcPr>
        <w:tcBorders>
          <w:top w:val="single" w:color="81C9EA" w:themeColor="accent1" w:themeTint="67" w:sz="4" w:space="0"/>
          <w:left w:val="single" w:color="81C9EA" w:themeColor="accent1" w:themeTint="67" w:sz="4" w:space="0"/>
          <w:bottom w:val="single" w:color="81C9EA" w:themeColor="accent1" w:themeTint="67" w:sz="4" w:space="0"/>
          <w:right w:val="single" w:color="81C9EA" w:themeColor="accent1" w:themeTint="67" w:sz="4" w:space="0"/>
        </w:tcBorders>
      </w:tcPr>
    </w:tblStylePr>
  </w:style>
  <w:style w:type="table" w:styleId="Bordered-Accent2" w:customStyle="1">
    <w:name w:val="Bordered - Accent 2"/>
    <w:basedOn w:val="TableauNormal"/>
    <w:uiPriority w:val="99"/>
    <w:pPr>
      <w:spacing w:after="0" w:line="240" w:lineRule="auto"/>
    </w:pPr>
    <w:tblPr>
      <w:tblStyleRowBandSize w:val="1"/>
      <w:tblStyleColBandSize w:val="1"/>
      <w:tblBorders>
        <w:top w:val="single" w:color="F6C5AB" w:themeColor="accent2" w:themeTint="67" w:sz="4" w:space="0"/>
        <w:left w:val="single" w:color="F6C5AB" w:themeColor="accent2" w:themeTint="67" w:sz="4" w:space="0"/>
        <w:bottom w:val="single" w:color="F6C5AB" w:themeColor="accent2" w:themeTint="67" w:sz="4" w:space="0"/>
        <w:right w:val="single" w:color="F6C5AB" w:themeColor="accent2" w:themeTint="67" w:sz="4" w:space="0"/>
        <w:insideH w:val="single" w:color="F6C5AB" w:themeColor="accent2" w:themeTint="67" w:sz="4" w:space="0"/>
        <w:insideV w:val="single" w:color="F6C5AB" w:themeColor="accent2" w:themeTint="67" w:sz="4" w:space="0"/>
      </w:tblBorders>
    </w:tblPr>
    <w:tblStylePr w:type="firstRow">
      <w:rPr>
        <w:rFonts w:ascii="Arial" w:hAnsi="Arial"/>
        <w:color w:val="404040"/>
        <w:sz w:val="22"/>
      </w:rPr>
      <w:tblPr/>
      <w:tcPr>
        <w:tcBorders>
          <w:bottom w:val="single" w:color="F2AA85" w:themeColor="accent2" w:themeTint="97" w:sz="12" w:space="0"/>
        </w:tcBorders>
      </w:tcPr>
    </w:tblStylePr>
    <w:tblStylePr w:type="lastRow">
      <w:rPr>
        <w:rFonts w:ascii="Arial" w:hAnsi="Arial"/>
        <w:color w:val="404040"/>
        <w:sz w:val="22"/>
      </w:rPr>
      <w:tblPr/>
      <w:tcPr>
        <w:tcBorders>
          <w:top w:val="single" w:color="F2AA8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F2AA85" w:themeColor="accent2" w:themeTint="97" w:sz="12" w:space="0"/>
        </w:tcBorders>
      </w:tcPr>
    </w:tblStylePr>
    <w:tblStylePr w:type="band1Horz">
      <w:rPr>
        <w:rFonts w:ascii="Arial" w:hAnsi="Arial"/>
        <w:color w:val="404040"/>
        <w:sz w:val="22"/>
      </w:rPr>
      <w:tblPr/>
      <w:tcPr>
        <w:tcBorders>
          <w:top w:val="single" w:color="F6C5AB" w:themeColor="accent2" w:themeTint="67" w:sz="4" w:space="0"/>
          <w:left w:val="single" w:color="F6C5AB" w:themeColor="accent2" w:themeTint="67" w:sz="4" w:space="0"/>
          <w:bottom w:val="single" w:color="F6C5AB" w:themeColor="accent2" w:themeTint="67" w:sz="4" w:space="0"/>
          <w:right w:val="single" w:color="F6C5AB" w:themeColor="accent2" w:themeTint="67" w:sz="4" w:space="0"/>
        </w:tcBorders>
      </w:tcPr>
    </w:tblStylePr>
  </w:style>
  <w:style w:type="table" w:styleId="Bordered-Accent3" w:customStyle="1">
    <w:name w:val="Bordered - Accent 3"/>
    <w:basedOn w:val="TableauNormal"/>
    <w:uiPriority w:val="99"/>
    <w:pPr>
      <w:spacing w:after="0" w:line="240" w:lineRule="auto"/>
    </w:pPr>
    <w:tblPr>
      <w:tblStyleRowBandSize w:val="1"/>
      <w:tblStyleColBandSize w:val="1"/>
      <w:tblBorders>
        <w:top w:val="single" w:color="83E28F" w:themeColor="accent3" w:themeTint="67" w:sz="4" w:space="0"/>
        <w:left w:val="single" w:color="83E28F" w:themeColor="accent3" w:themeTint="67" w:sz="4" w:space="0"/>
        <w:bottom w:val="single" w:color="83E28F" w:themeColor="accent3" w:themeTint="67" w:sz="4" w:space="0"/>
        <w:right w:val="single" w:color="83E28F" w:themeColor="accent3" w:themeTint="67" w:sz="4" w:space="0"/>
        <w:insideH w:val="single" w:color="83E28F" w:themeColor="accent3" w:themeTint="67" w:sz="4" w:space="0"/>
        <w:insideV w:val="single" w:color="83E28F" w:themeColor="accent3" w:themeTint="67" w:sz="4" w:space="0"/>
      </w:tblBorders>
    </w:tblPr>
    <w:tblStylePr w:type="firstRow">
      <w:rPr>
        <w:rFonts w:ascii="Arial" w:hAnsi="Arial"/>
        <w:color w:val="404040"/>
        <w:sz w:val="22"/>
      </w:rPr>
      <w:tblPr/>
      <w:tcPr>
        <w:tcBorders>
          <w:bottom w:val="single" w:color="48D45B" w:themeColor="accent3" w:themeTint="98" w:sz="12" w:space="0"/>
        </w:tcBorders>
      </w:tcPr>
    </w:tblStylePr>
    <w:tblStylePr w:type="lastRow">
      <w:rPr>
        <w:rFonts w:ascii="Arial" w:hAnsi="Arial"/>
        <w:color w:val="404040"/>
        <w:sz w:val="22"/>
      </w:rPr>
      <w:tblPr/>
      <w:tcPr>
        <w:tcBorders>
          <w:top w:val="single" w:color="48D45B"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48D45B" w:themeColor="accent3" w:themeTint="98" w:sz="12" w:space="0"/>
        </w:tcBorders>
      </w:tcPr>
    </w:tblStylePr>
    <w:tblStylePr w:type="band1Horz">
      <w:rPr>
        <w:rFonts w:ascii="Arial" w:hAnsi="Arial"/>
        <w:color w:val="404040"/>
        <w:sz w:val="22"/>
      </w:rPr>
      <w:tblPr/>
      <w:tcPr>
        <w:tcBorders>
          <w:top w:val="single" w:color="83E28F" w:themeColor="accent3" w:themeTint="67" w:sz="4" w:space="0"/>
          <w:left w:val="single" w:color="83E28F" w:themeColor="accent3" w:themeTint="67" w:sz="4" w:space="0"/>
          <w:bottom w:val="single" w:color="83E28F" w:themeColor="accent3" w:themeTint="67" w:sz="4" w:space="0"/>
          <w:right w:val="single" w:color="83E28F" w:themeColor="accent3" w:themeTint="67" w:sz="4" w:space="0"/>
        </w:tcBorders>
      </w:tcPr>
    </w:tblStylePr>
  </w:style>
  <w:style w:type="table" w:styleId="Bordered-Accent4" w:customStyle="1">
    <w:name w:val="Bordered - Accent 4"/>
    <w:basedOn w:val="TableauNormal"/>
    <w:uiPriority w:val="99"/>
    <w:pPr>
      <w:spacing w:after="0" w:line="240" w:lineRule="auto"/>
    </w:pPr>
    <w:tblPr>
      <w:tblStyleRowBandSize w:val="1"/>
      <w:tblStyleColBandSize w:val="1"/>
      <w:tblBorders>
        <w:top w:val="single" w:color="94DBF7" w:themeColor="accent4" w:themeTint="67" w:sz="4" w:space="0"/>
        <w:left w:val="single" w:color="94DBF7" w:themeColor="accent4" w:themeTint="67" w:sz="4" w:space="0"/>
        <w:bottom w:val="single" w:color="94DBF7" w:themeColor="accent4" w:themeTint="67" w:sz="4" w:space="0"/>
        <w:right w:val="single" w:color="94DBF7" w:themeColor="accent4" w:themeTint="67" w:sz="4" w:space="0"/>
        <w:insideH w:val="single" w:color="94DBF7" w:themeColor="accent4" w:themeTint="67" w:sz="4" w:space="0"/>
        <w:insideV w:val="single" w:color="94DBF7" w:themeColor="accent4" w:themeTint="67" w:sz="4" w:space="0"/>
      </w:tblBorders>
    </w:tblPr>
    <w:tblStylePr w:type="firstRow">
      <w:rPr>
        <w:rFonts w:ascii="Arial" w:hAnsi="Arial"/>
        <w:color w:val="404040"/>
        <w:sz w:val="22"/>
      </w:rPr>
      <w:tblPr/>
      <w:tcPr>
        <w:tcBorders>
          <w:bottom w:val="single" w:color="5FCAF3" w:themeColor="accent4" w:themeTint="9A" w:sz="12" w:space="0"/>
        </w:tcBorders>
      </w:tcPr>
    </w:tblStylePr>
    <w:tblStylePr w:type="lastRow">
      <w:rPr>
        <w:rFonts w:ascii="Arial" w:hAnsi="Arial"/>
        <w:color w:val="404040"/>
        <w:sz w:val="22"/>
      </w:rPr>
      <w:tblPr/>
      <w:tcPr>
        <w:tcBorders>
          <w:top w:val="single" w:color="5FCAF3"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5FCAF3" w:themeColor="accent4" w:themeTint="9A" w:sz="12" w:space="0"/>
        </w:tcBorders>
      </w:tcPr>
    </w:tblStylePr>
    <w:tblStylePr w:type="band1Horz">
      <w:rPr>
        <w:rFonts w:ascii="Arial" w:hAnsi="Arial"/>
        <w:color w:val="404040"/>
        <w:sz w:val="22"/>
      </w:rPr>
      <w:tblPr/>
      <w:tcPr>
        <w:tcBorders>
          <w:top w:val="single" w:color="94DBF7" w:themeColor="accent4" w:themeTint="67" w:sz="4" w:space="0"/>
          <w:left w:val="single" w:color="94DBF7" w:themeColor="accent4" w:themeTint="67" w:sz="4" w:space="0"/>
          <w:bottom w:val="single" w:color="94DBF7" w:themeColor="accent4" w:themeTint="67" w:sz="4" w:space="0"/>
          <w:right w:val="single" w:color="94DBF7" w:themeColor="accent4" w:themeTint="67" w:sz="4" w:space="0"/>
        </w:tcBorders>
      </w:tcPr>
    </w:tblStylePr>
  </w:style>
  <w:style w:type="table" w:styleId="Bordered-Accent5" w:customStyle="1">
    <w:name w:val="Bordered - Accent 5"/>
    <w:basedOn w:val="TableauNormal"/>
    <w:uiPriority w:val="99"/>
    <w:pPr>
      <w:spacing w:after="0" w:line="240" w:lineRule="auto"/>
    </w:pPr>
    <w:tblPr>
      <w:tblStyleRowBandSize w:val="1"/>
      <w:tblStyleColBandSize w:val="1"/>
      <w:tblBorders>
        <w:top w:val="single" w:color="E49DDC" w:themeColor="accent5" w:themeTint="67" w:sz="4" w:space="0"/>
        <w:left w:val="single" w:color="E49DDC" w:themeColor="accent5" w:themeTint="67" w:sz="4" w:space="0"/>
        <w:bottom w:val="single" w:color="E49DDC" w:themeColor="accent5" w:themeTint="67" w:sz="4" w:space="0"/>
        <w:right w:val="single" w:color="E49DDC" w:themeColor="accent5" w:themeTint="67" w:sz="4" w:space="0"/>
        <w:insideH w:val="single" w:color="E49DDC" w:themeColor="accent5" w:themeTint="67" w:sz="4" w:space="0"/>
        <w:insideV w:val="single" w:color="E49DDC" w:themeColor="accent5" w:themeTint="67" w:sz="4" w:space="0"/>
      </w:tblBorders>
    </w:tblPr>
    <w:tblStylePr w:type="firstRow">
      <w:rPr>
        <w:rFonts w:ascii="Arial" w:hAnsi="Arial"/>
        <w:color w:val="404040"/>
        <w:sz w:val="22"/>
      </w:rPr>
      <w:tblPr/>
      <w:tcPr>
        <w:tcBorders>
          <w:bottom w:val="single" w:color="D76CCB" w:themeColor="accent5" w:themeTint="9A" w:sz="12" w:space="0"/>
        </w:tcBorders>
      </w:tcPr>
    </w:tblStylePr>
    <w:tblStylePr w:type="lastRow">
      <w:rPr>
        <w:rFonts w:ascii="Arial" w:hAnsi="Arial"/>
        <w:color w:val="404040"/>
        <w:sz w:val="22"/>
      </w:rPr>
      <w:tblPr/>
      <w:tcPr>
        <w:tcBorders>
          <w:top w:val="single" w:color="D76CCB"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D76CCB" w:themeColor="accent5" w:themeTint="9A" w:sz="12" w:space="0"/>
        </w:tcBorders>
      </w:tcPr>
    </w:tblStylePr>
    <w:tblStylePr w:type="band1Horz">
      <w:rPr>
        <w:rFonts w:ascii="Arial" w:hAnsi="Arial"/>
        <w:color w:val="404040"/>
        <w:sz w:val="22"/>
      </w:rPr>
      <w:tblPr/>
      <w:tcPr>
        <w:tcBorders>
          <w:top w:val="single" w:color="E49DDC" w:themeColor="accent5" w:themeTint="67" w:sz="4" w:space="0"/>
          <w:left w:val="single" w:color="E49DDC" w:themeColor="accent5" w:themeTint="67" w:sz="4" w:space="0"/>
          <w:bottom w:val="single" w:color="E49DDC" w:themeColor="accent5" w:themeTint="67" w:sz="4" w:space="0"/>
          <w:right w:val="single" w:color="E49DDC" w:themeColor="accent5" w:themeTint="67" w:sz="4" w:space="0"/>
        </w:tcBorders>
      </w:tcPr>
    </w:tblStylePr>
  </w:style>
  <w:style w:type="table" w:styleId="Bordered-Accent6" w:customStyle="1">
    <w:name w:val="Bordered - Accent 6"/>
    <w:basedOn w:val="TableauNormal"/>
    <w:uiPriority w:val="99"/>
    <w:pPr>
      <w:spacing w:after="0" w:line="240" w:lineRule="auto"/>
    </w:pPr>
    <w:tblPr>
      <w:tblStyleRowBandSize w:val="1"/>
      <w:tblStyleColBandSize w:val="1"/>
      <w:tblBorders>
        <w:top w:val="single" w:color="B2E5A0" w:themeColor="accent6" w:themeTint="67" w:sz="4" w:space="0"/>
        <w:left w:val="single" w:color="B2E5A0" w:themeColor="accent6" w:themeTint="67" w:sz="4" w:space="0"/>
        <w:bottom w:val="single" w:color="B2E5A0" w:themeColor="accent6" w:themeTint="67" w:sz="4" w:space="0"/>
        <w:right w:val="single" w:color="B2E5A0" w:themeColor="accent6" w:themeTint="67" w:sz="4" w:space="0"/>
        <w:insideH w:val="single" w:color="B2E5A0" w:themeColor="accent6" w:themeTint="67" w:sz="4" w:space="0"/>
        <w:insideV w:val="single" w:color="B2E5A0" w:themeColor="accent6" w:themeTint="67" w:sz="4" w:space="0"/>
      </w:tblBorders>
    </w:tblPr>
    <w:tblStylePr w:type="firstRow">
      <w:rPr>
        <w:rFonts w:ascii="Arial" w:hAnsi="Arial"/>
        <w:color w:val="404040"/>
        <w:sz w:val="22"/>
      </w:rPr>
      <w:tblPr/>
      <w:tcPr>
        <w:tcBorders>
          <w:bottom w:val="single" w:color="8ED873" w:themeColor="accent6" w:themeTint="98" w:sz="12" w:space="0"/>
        </w:tcBorders>
      </w:tcPr>
    </w:tblStylePr>
    <w:tblStylePr w:type="lastRow">
      <w:rPr>
        <w:rFonts w:ascii="Arial" w:hAnsi="Arial"/>
        <w:color w:val="404040"/>
        <w:sz w:val="22"/>
      </w:rPr>
      <w:tblPr/>
      <w:tcPr>
        <w:tcBorders>
          <w:top w:val="single" w:color="8ED873"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8ED873" w:themeColor="accent6" w:themeTint="98" w:sz="12" w:space="0"/>
        </w:tcBorders>
      </w:tcPr>
    </w:tblStylePr>
    <w:tblStylePr w:type="band1Horz">
      <w:rPr>
        <w:rFonts w:ascii="Arial" w:hAnsi="Arial"/>
        <w:color w:val="404040"/>
        <w:sz w:val="22"/>
      </w:rPr>
      <w:tblPr/>
      <w:tcPr>
        <w:tcBorders>
          <w:top w:val="single" w:color="B2E5A0" w:themeColor="accent6" w:themeTint="67" w:sz="4" w:space="0"/>
          <w:left w:val="single" w:color="B2E5A0" w:themeColor="accent6" w:themeTint="67" w:sz="4" w:space="0"/>
          <w:bottom w:val="single" w:color="B2E5A0" w:themeColor="accent6" w:themeTint="67" w:sz="4" w:space="0"/>
          <w:right w:val="single" w:color="B2E5A0" w:themeColor="accent6" w:themeTint="67" w:sz="4" w:space="0"/>
        </w:tcBorders>
      </w:tcPr>
    </w:tblStylePr>
  </w:style>
  <w:style w:type="character" w:styleId="Titre1Car" w:customStyle="1">
    <w:name w:val="Titre 1 Car"/>
    <w:basedOn w:val="Policepardfaut"/>
    <w:link w:val="Titre1"/>
    <w:uiPriority w:val="9"/>
    <w:rPr>
      <w:rFonts w:ascii="Arial" w:hAnsi="Arial" w:eastAsia="Arial" w:cs="Arial"/>
      <w:color w:val="0F4761" w:themeColor="accent1" w:themeShade="BF"/>
      <w:sz w:val="40"/>
      <w:szCs w:val="40"/>
    </w:rPr>
  </w:style>
  <w:style w:type="character" w:styleId="Titre2Car" w:customStyle="1">
    <w:name w:val="Titre 2 Car"/>
    <w:basedOn w:val="Policepardfaut"/>
    <w:link w:val="Titre2"/>
    <w:uiPriority w:val="9"/>
    <w:rPr>
      <w:rFonts w:ascii="Arial" w:hAnsi="Arial" w:eastAsia="Arial" w:cs="Arial"/>
      <w:color w:val="0F4761" w:themeColor="accent1" w:themeShade="BF"/>
      <w:sz w:val="32"/>
      <w:szCs w:val="32"/>
    </w:rPr>
  </w:style>
  <w:style w:type="character" w:styleId="Titre3Car" w:customStyle="1">
    <w:name w:val="Titre 3 Car"/>
    <w:basedOn w:val="Policepardfaut"/>
    <w:link w:val="Titre3"/>
    <w:uiPriority w:val="9"/>
    <w:rPr>
      <w:rFonts w:ascii="Arial" w:hAnsi="Arial" w:eastAsia="Arial" w:cs="Arial"/>
      <w:color w:val="0F4761" w:themeColor="accent1" w:themeShade="BF"/>
      <w:sz w:val="28"/>
      <w:szCs w:val="28"/>
    </w:rPr>
  </w:style>
  <w:style w:type="character" w:styleId="Titre4Car" w:customStyle="1">
    <w:name w:val="Titre 4 Car"/>
    <w:basedOn w:val="Policepardfaut"/>
    <w:link w:val="Titre4"/>
    <w:uiPriority w:val="9"/>
    <w:rPr>
      <w:rFonts w:ascii="Arial" w:hAnsi="Arial" w:eastAsia="Arial" w:cs="Arial"/>
      <w:i/>
      <w:iCs/>
      <w:color w:val="0F4761" w:themeColor="accent1" w:themeShade="BF"/>
    </w:rPr>
  </w:style>
  <w:style w:type="character" w:styleId="Titre5Car" w:customStyle="1">
    <w:name w:val="Titre 5 Car"/>
    <w:basedOn w:val="Policepardfaut"/>
    <w:link w:val="Titre5"/>
    <w:uiPriority w:val="9"/>
    <w:rPr>
      <w:rFonts w:ascii="Arial" w:hAnsi="Arial" w:eastAsia="Arial" w:cs="Arial"/>
      <w:color w:val="0F4761" w:themeColor="accent1" w:themeShade="BF"/>
    </w:rPr>
  </w:style>
  <w:style w:type="character" w:styleId="Titre6Car" w:customStyle="1">
    <w:name w:val="Titre 6 Car"/>
    <w:basedOn w:val="Policepardfaut"/>
    <w:link w:val="Titre6"/>
    <w:uiPriority w:val="9"/>
    <w:rPr>
      <w:rFonts w:ascii="Arial" w:hAnsi="Arial" w:eastAsia="Arial" w:cs="Arial"/>
      <w:i/>
      <w:iCs/>
      <w:color w:val="595959" w:themeColor="text1" w:themeTint="A6"/>
    </w:rPr>
  </w:style>
  <w:style w:type="character" w:styleId="Titre7Car" w:customStyle="1">
    <w:name w:val="Titre 7 Car"/>
    <w:basedOn w:val="Policepardfaut"/>
    <w:link w:val="Titre7"/>
    <w:uiPriority w:val="9"/>
    <w:rPr>
      <w:rFonts w:ascii="Arial" w:hAnsi="Arial" w:eastAsia="Arial" w:cs="Arial"/>
      <w:color w:val="595959" w:themeColor="text1" w:themeTint="A6"/>
    </w:rPr>
  </w:style>
  <w:style w:type="character" w:styleId="Titre8Car" w:customStyle="1">
    <w:name w:val="Titre 8 Car"/>
    <w:basedOn w:val="Policepardfaut"/>
    <w:link w:val="Titre8"/>
    <w:uiPriority w:val="9"/>
    <w:rPr>
      <w:rFonts w:ascii="Arial" w:hAnsi="Arial" w:eastAsia="Arial" w:cs="Arial"/>
      <w:i/>
      <w:iCs/>
      <w:color w:val="272727" w:themeColor="text1" w:themeTint="D8"/>
    </w:rPr>
  </w:style>
  <w:style w:type="character" w:styleId="Titre9Car" w:customStyle="1">
    <w:name w:val="Titre 9 Car"/>
    <w:basedOn w:val="Policepardfaut"/>
    <w:link w:val="Titre9"/>
    <w:uiPriority w:val="9"/>
    <w:rPr>
      <w:rFonts w:ascii="Arial" w:hAnsi="Arial" w:eastAsia="Arial" w:cs="Arial"/>
      <w:i/>
      <w:iCs/>
      <w:color w:val="272727" w:themeColor="text1" w:themeTint="D8"/>
    </w:rPr>
  </w:style>
  <w:style w:type="character" w:styleId="TitreCar" w:customStyle="1">
    <w:name w:val="Titre Car"/>
    <w:basedOn w:val="Policepardfaut"/>
    <w:link w:val="Titre"/>
    <w:uiPriority w:val="10"/>
    <w:rPr>
      <w:rFonts w:ascii="Arial" w:hAnsi="Arial" w:eastAsia="Arial" w:cs="Arial"/>
      <w:spacing w:val="-10"/>
      <w:sz w:val="56"/>
      <w:szCs w:val="56"/>
    </w:rPr>
  </w:style>
  <w:style w:type="character" w:styleId="Sous-titreCar" w:customStyle="1">
    <w:name w:val="Sous-titre Car"/>
    <w:basedOn w:val="Policepardfaut"/>
    <w:link w:val="Sous-titre"/>
    <w:uiPriority w:val="11"/>
    <w:rPr>
      <w:color w:val="595959" w:themeColor="text1" w:themeTint="A6"/>
      <w:spacing w:val="15"/>
      <w:sz w:val="28"/>
      <w:szCs w:val="28"/>
    </w:rPr>
  </w:style>
  <w:style w:type="character" w:styleId="CitationCar" w:customStyle="1">
    <w:name w:val="Citation Car"/>
    <w:basedOn w:val="Policepardfaut"/>
    <w:link w:val="Citation"/>
    <w:uiPriority w:val="29"/>
    <w:rPr>
      <w:i/>
      <w:iCs/>
      <w:color w:val="404040" w:themeColor="text1" w:themeTint="BF"/>
    </w:rPr>
  </w:style>
  <w:style w:type="character" w:styleId="Accentuationintense">
    <w:name w:val="Intense Emphasis"/>
    <w:basedOn w:val="Policepardfaut"/>
    <w:uiPriority w:val="21"/>
    <w:qFormat/>
    <w:rPr>
      <w:i/>
      <w:iCs/>
      <w:color w:val="0F4761" w:themeColor="accent1" w:themeShade="BF"/>
    </w:rPr>
  </w:style>
  <w:style w:type="character" w:styleId="CitationintenseCar" w:customStyle="1">
    <w:name w:val="Citation intense Car"/>
    <w:basedOn w:val="Policepardfaut"/>
    <w:link w:val="Citationintense"/>
    <w:uiPriority w:val="30"/>
    <w:rPr>
      <w:i/>
      <w:iCs/>
      <w:color w:val="0F4761" w:themeColor="accent1" w:themeShade="BF"/>
    </w:rPr>
  </w:style>
  <w:style w:type="character" w:styleId="Rfrenceintense">
    <w:name w:val="Intense Reference"/>
    <w:basedOn w:val="Policepardfaut"/>
    <w:uiPriority w:val="32"/>
    <w:qFormat/>
    <w:rPr>
      <w:b/>
      <w:bCs/>
      <w:smallCaps/>
      <w:color w:val="0F4761" w:themeColor="accent1" w:themeShade="BF"/>
      <w:spacing w:val="5"/>
    </w:rPr>
  </w:style>
  <w:style w:type="paragraph" w:styleId="Sansinterligne">
    <w:name w:val="No Spacing"/>
    <w:basedOn w:val="Normal"/>
    <w:uiPriority w:val="1"/>
    <w:qFormat/>
    <w:pPr>
      <w:spacing w:after="0" w:line="240" w:lineRule="auto"/>
    </w:pPr>
  </w:style>
  <w:style w:type="character" w:styleId="Accentuationlgre">
    <w:name w:val="Subtle Emphasis"/>
    <w:basedOn w:val="Policepardfaut"/>
    <w:uiPriority w:val="19"/>
    <w:qFormat/>
    <w:rPr>
      <w:i/>
      <w:iCs/>
      <w:color w:val="404040" w:themeColor="text1" w:themeTint="BF"/>
    </w:rPr>
  </w:style>
  <w:style w:type="character" w:styleId="Accentuation">
    <w:name w:val="Emphasis"/>
    <w:basedOn w:val="Policepardfaut"/>
    <w:uiPriority w:val="20"/>
    <w:qFormat/>
    <w:rPr>
      <w:i/>
      <w:iCs/>
    </w:rPr>
  </w:style>
  <w:style w:type="character" w:styleId="lev">
    <w:name w:val="Strong"/>
    <w:basedOn w:val="Policepardfaut"/>
    <w:uiPriority w:val="22"/>
    <w:qFormat/>
    <w:rPr>
      <w:b/>
      <w:bCs/>
    </w:rPr>
  </w:style>
  <w:style w:type="character" w:styleId="Rfrencelgre">
    <w:name w:val="Subtle Reference"/>
    <w:basedOn w:val="Policepardfaut"/>
    <w:uiPriority w:val="31"/>
    <w:qFormat/>
    <w:rPr>
      <w:smallCaps/>
      <w:color w:val="5A5A5A" w:themeColor="text1" w:themeTint="A5"/>
    </w:rPr>
  </w:style>
  <w:style w:type="character" w:styleId="Titredulivre">
    <w:name w:val="Book Title"/>
    <w:basedOn w:val="Policepardfaut"/>
    <w:uiPriority w:val="33"/>
    <w:qFormat/>
    <w:rPr>
      <w:b/>
      <w:bCs/>
      <w:i/>
      <w:iCs/>
      <w:spacing w:val="5"/>
    </w:rPr>
  </w:style>
  <w:style w:type="paragraph" w:styleId="En-tte">
    <w:name w:val="header"/>
    <w:basedOn w:val="Normal"/>
    <w:link w:val="En-tteCar"/>
    <w:uiPriority w:val="99"/>
    <w:unhideWhenUsed/>
    <w:pPr>
      <w:tabs>
        <w:tab w:val="center" w:pos="4844"/>
        <w:tab w:val="right" w:pos="9689"/>
      </w:tabs>
      <w:spacing w:after="0" w:line="240" w:lineRule="auto"/>
    </w:pPr>
  </w:style>
  <w:style w:type="character" w:styleId="En-tteCar" w:customStyle="1">
    <w:name w:val="En-tête Car"/>
    <w:basedOn w:val="Policepardfaut"/>
    <w:link w:val="En-tte"/>
    <w:uiPriority w:val="99"/>
  </w:style>
  <w:style w:type="paragraph" w:styleId="Pieddepage">
    <w:name w:val="footer"/>
    <w:basedOn w:val="Normal"/>
    <w:link w:val="PieddepageCar"/>
    <w:uiPriority w:val="99"/>
    <w:unhideWhenUsed/>
    <w:pPr>
      <w:tabs>
        <w:tab w:val="center" w:pos="4844"/>
        <w:tab w:val="right" w:pos="9689"/>
      </w:tabs>
      <w:spacing w:after="0" w:line="240" w:lineRule="auto"/>
    </w:pPr>
  </w:style>
  <w:style w:type="character" w:styleId="PieddepageCar" w:customStyle="1">
    <w:name w:val="Pied de page Car"/>
    <w:basedOn w:val="Policepardfaut"/>
    <w:link w:val="Pieddepage"/>
    <w:uiPriority w:val="99"/>
  </w:style>
  <w:style w:type="paragraph" w:styleId="Lgende">
    <w:name w:val="caption"/>
    <w:basedOn w:val="Normal"/>
    <w:next w:val="Normal"/>
    <w:uiPriority w:val="35"/>
    <w:unhideWhenUsed/>
    <w:qFormat/>
    <w:pPr>
      <w:spacing w:after="200" w:line="240" w:lineRule="auto"/>
    </w:pPr>
    <w:rPr>
      <w:i/>
      <w:iCs/>
      <w:color w:val="0E2841" w:themeColor="text2"/>
      <w:sz w:val="18"/>
      <w:szCs w:val="18"/>
    </w:rPr>
  </w:style>
  <w:style w:type="character" w:styleId="NotedebasdepageCar" w:customStyle="1">
    <w:name w:val="Note de bas de page Car"/>
    <w:basedOn w:val="Policepardfaut"/>
    <w:link w:val="Notedebasdepage"/>
    <w:uiPriority w:val="99"/>
    <w:semiHidden/>
    <w:rPr>
      <w:sz w:val="20"/>
      <w:szCs w:val="20"/>
    </w:rPr>
  </w:style>
  <w:style w:type="paragraph" w:styleId="Notedefin">
    <w:name w:val="endnote text"/>
    <w:basedOn w:val="Normal"/>
    <w:link w:val="NotedefinCar"/>
    <w:uiPriority w:val="99"/>
    <w:semiHidden/>
    <w:unhideWhenUsed/>
    <w:pPr>
      <w:spacing w:after="0" w:line="240" w:lineRule="auto"/>
    </w:pPr>
    <w:rPr>
      <w:sz w:val="20"/>
      <w:szCs w:val="20"/>
    </w:rPr>
  </w:style>
  <w:style w:type="character" w:styleId="NotedefinCar" w:customStyle="1">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character" w:styleId="Lienhypertextesuivivisit">
    <w:name w:val="FollowedHyperlink"/>
    <w:basedOn w:val="Policepardfaut"/>
    <w:uiPriority w:val="99"/>
    <w:semiHidden/>
    <w:unhideWhenUsed/>
    <w:rPr>
      <w:color w:val="96607D" w:themeColor="followedHyperlink"/>
      <w:u w:val="single"/>
    </w:rPr>
  </w:style>
  <w:style w:type="paragraph" w:styleId="TM1">
    <w:name w:val="toc 1"/>
    <w:basedOn w:val="Normal"/>
    <w:next w:val="Normal"/>
    <w:uiPriority w:val="39"/>
    <w:unhideWhenUsed/>
    <w:pPr>
      <w:spacing w:after="100"/>
    </w:pPr>
  </w:style>
  <w:style w:type="paragraph" w:styleId="TM2">
    <w:name w:val="toc 2"/>
    <w:basedOn w:val="Normal"/>
    <w:next w:val="Normal"/>
    <w:uiPriority w:val="39"/>
    <w:unhideWhenUsed/>
    <w:pPr>
      <w:spacing w:after="100"/>
      <w:ind w:left="220"/>
    </w:pPr>
  </w:style>
  <w:style w:type="paragraph" w:styleId="TM3">
    <w:name w:val="toc 3"/>
    <w:basedOn w:val="Normal"/>
    <w:next w:val="Normal"/>
    <w:uiPriority w:val="39"/>
    <w:unhideWhenUsed/>
    <w:pPr>
      <w:spacing w:after="100"/>
      <w:ind w:left="440"/>
    </w:pPr>
  </w:style>
  <w:style w:type="paragraph" w:styleId="TM4">
    <w:name w:val="toc 4"/>
    <w:basedOn w:val="Normal"/>
    <w:next w:val="Normal"/>
    <w:uiPriority w:val="39"/>
    <w:unhideWhenUsed/>
    <w:pPr>
      <w:spacing w:after="100"/>
      <w:ind w:left="660"/>
    </w:pPr>
  </w:style>
  <w:style w:type="paragraph" w:styleId="TM5">
    <w:name w:val="toc 5"/>
    <w:basedOn w:val="Normal"/>
    <w:next w:val="Normal"/>
    <w:uiPriority w:val="39"/>
    <w:unhideWhenUsed/>
    <w:pPr>
      <w:spacing w:after="100"/>
      <w:ind w:left="880"/>
    </w:pPr>
  </w:style>
  <w:style w:type="paragraph" w:styleId="TM6">
    <w:name w:val="toc 6"/>
    <w:basedOn w:val="Normal"/>
    <w:next w:val="Normal"/>
    <w:uiPriority w:val="39"/>
    <w:unhideWhenUsed/>
    <w:pPr>
      <w:spacing w:after="100"/>
      <w:ind w:left="1100"/>
    </w:pPr>
  </w:style>
  <w:style w:type="paragraph" w:styleId="TM7">
    <w:name w:val="toc 7"/>
    <w:basedOn w:val="Normal"/>
    <w:next w:val="Normal"/>
    <w:uiPriority w:val="39"/>
    <w:unhideWhenUsed/>
    <w:pPr>
      <w:spacing w:after="100"/>
      <w:ind w:left="1320"/>
    </w:pPr>
  </w:style>
  <w:style w:type="paragraph" w:styleId="TM8">
    <w:name w:val="toc 8"/>
    <w:basedOn w:val="Normal"/>
    <w:next w:val="Normal"/>
    <w:uiPriority w:val="39"/>
    <w:unhideWhenUsed/>
    <w:pPr>
      <w:spacing w:after="100"/>
      <w:ind w:left="1540"/>
    </w:pPr>
  </w:style>
  <w:style w:type="paragraph" w:styleId="TM9">
    <w:name w:val="toc 9"/>
    <w:basedOn w:val="Normal"/>
    <w:next w:val="Normal"/>
    <w:uiPriority w:val="39"/>
    <w:unhideWhenUsed/>
    <w:pPr>
      <w:spacing w:after="100"/>
      <w:ind w:left="1760"/>
    </w:pPr>
  </w:style>
  <w:style w:type="character" w:styleId="Textedelespacerserv">
    <w:name w:val="Placeholder Text"/>
    <w:basedOn w:val="Policepardfaut"/>
    <w:uiPriority w:val="99"/>
    <w:semiHidden/>
    <w:rPr>
      <w:color w:val="666666"/>
    </w:r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paragraph" w:styleId="Titre">
    <w:name w:val="Title"/>
    <w:basedOn w:val="Normal"/>
    <w:next w:val="Normal"/>
    <w:link w:val="TitreCar"/>
    <w:uiPriority w:val="10"/>
    <w:qFormat/>
    <w:pPr>
      <w:spacing w:after="80" w:line="240" w:lineRule="auto"/>
      <w:contextualSpacing/>
    </w:pPr>
    <w:rPr>
      <w:rFonts w:asciiTheme="majorHAnsi" w:hAnsiTheme="majorHAnsi" w:eastAsiaTheme="majorEastAsia" w:cstheme="majorBidi"/>
      <w:sz w:val="56"/>
      <w:szCs w:val="56"/>
    </w:rPr>
  </w:style>
  <w:style w:type="paragraph" w:styleId="Sous-titre">
    <w:name w:val="Subtitle"/>
    <w:basedOn w:val="Normal"/>
    <w:next w:val="Normal"/>
    <w:link w:val="Sous-titreCar"/>
    <w:uiPriority w:val="11"/>
    <w:qFormat/>
    <w:rPr>
      <w:rFonts w:eastAsiaTheme="majorEastAsia" w:cstheme="majorBidi"/>
      <w:color w:val="595959" w:themeColor="text1" w:themeTint="A6"/>
      <w:sz w:val="28"/>
      <w:szCs w:val="28"/>
    </w:rPr>
  </w:style>
  <w:style w:type="character" w:styleId="Lienhypertexte">
    <w:name w:val="Hyperlink"/>
    <w:basedOn w:val="Policepardfaut"/>
    <w:uiPriority w:val="99"/>
    <w:unhideWhenUsed/>
    <w:rPr>
      <w:color w:val="467886"/>
      <w:u w:val="single"/>
    </w:rPr>
  </w:style>
  <w:style w:type="paragraph" w:styleId="Citationintense">
    <w:name w:val="Intense Quote"/>
    <w:basedOn w:val="Normal"/>
    <w:next w:val="Normal"/>
    <w:link w:val="CitationintenseCar"/>
    <w:uiPriority w:val="30"/>
    <w:qFormat/>
    <w:pPr>
      <w:spacing w:before="360" w:after="360"/>
      <w:ind w:left="864" w:right="864"/>
      <w:jc w:val="center"/>
    </w:pPr>
    <w:rPr>
      <w:i/>
      <w:iCs/>
      <w:color w:val="0F4761" w:themeColor="accent1" w:themeShade="BF"/>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table" w:styleId="Grilledutableau">
    <w:name w:val="Table Grid"/>
    <w:basedOn w:val="TableauNormal"/>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Notedebasdepage">
    <w:name w:val="footnote text"/>
    <w:basedOn w:val="Normal"/>
    <w:link w:val="NotedebasdepageCar"/>
    <w:uiPriority w:val="99"/>
    <w:semiHidden/>
    <w:unhideWhenUsed/>
    <w:pPr>
      <w:spacing w:after="0" w:line="240" w:lineRule="auto"/>
    </w:pPr>
    <w:rPr>
      <w:sz w:val="20"/>
      <w:szCs w:val="20"/>
    </w:rPr>
  </w:style>
  <w:style w:type="paragraph" w:styleId="Paragraphedeliste">
    <w:name w:val="List Paragraph"/>
    <w:basedOn w:val="Normal"/>
    <w:uiPriority w:val="34"/>
    <w:qFormat/>
    <w:pPr>
      <w:ind w:left="720"/>
      <w:contextualSpacing/>
    </w:pPr>
  </w:style>
  <w:style w:type="character" w:styleId="Appelnotedebasdep">
    <w:name w:val="footnote reference"/>
    <w:basedOn w:val="Policepardfaut"/>
    <w:uiPriority w:val="99"/>
    <w:semiHidden/>
    <w:unhideWhenUsed/>
    <w:rPr>
      <w:vertAlign w:val="superscript"/>
    </w:rPr>
  </w:style>
  <w:style w:type="paragraph" w:styleId="Commentaire">
    <w:name w:val="annotation text"/>
    <w:basedOn w:val="Normal"/>
    <w:link w:val="CommentaireCar"/>
    <w:uiPriority w:val="99"/>
    <w:semiHidden/>
    <w:unhideWhenUsed/>
    <w:pPr>
      <w:spacing w:line="240" w:lineRule="auto"/>
    </w:pPr>
    <w:rPr>
      <w:sz w:val="20"/>
      <w:szCs w:val="20"/>
    </w:rPr>
  </w:style>
  <w:style w:type="character" w:styleId="CommentaireCar" w:customStyle="1">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mailto:pr&#233;nom.etudiantaddicto@unistra.fr" TargetMode="External" Id="rId13" /><Relationship Type="http://schemas.openxmlformats.org/officeDocument/2006/relationships/image" Target="media/image20.png"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hyperlink" Target="mailto:juliette.besnard@ehesp.fr" TargetMode="External" Id="rId12" /><Relationship Type="http://schemas.openxmlformats.org/officeDocument/2006/relationships/image" Target="media/image2.png" Id="rId17" /><Relationship Type="http://schemas.openxmlformats.org/officeDocument/2006/relationships/customXml" Target="../customXml/item2.xml" Id="rId2" /><Relationship Type="http://schemas.openxmlformats.org/officeDocument/2006/relationships/image" Target="media/image10.jpg" Id="rId16" /><Relationship Type="http://schemas.openxmlformats.org/officeDocument/2006/relationships/hyperlink" Target="https://doi.org/10.1016/j.amp.2010.07.014"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ithaque-asso.fr/" TargetMode="External" Id="rId11" /><Relationship Type="http://schemas.openxmlformats.org/officeDocument/2006/relationships/styles" Target="styles.xml" Id="rId5" /><Relationship Type="http://schemas.openxmlformats.org/officeDocument/2006/relationships/hyperlink" Target="mailto:h.beaucolin@ithaque-asso.fr" TargetMode="External" Id="rId10" /><Relationship Type="http://schemas.openxmlformats.org/officeDocument/2006/relationships/hyperlink" Target="https://www.capitalisationsante.fr/capitalisations/dispositif-nozambule-du-plan-de-prevention-des-conduites-a-risques-de-la-ville-de-rennes/"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1.jpg" Id="rId14" /><Relationship Type="http://schemas.openxmlformats.org/officeDocument/2006/relationships/theme" Target="theme/theme1.xml" Id="rId22" /></Relationships>
</file>

<file path=word/_rels/footnotes.xml.rels><?xml version="1.0" encoding="UTF-8" standalone="yes"?>
<Relationships xmlns="http://schemas.openxmlformats.org/package/2006/relationships"><Relationship Id="rId1" Type="http://schemas.openxmlformats.org/officeDocument/2006/relationships/hyperlink" Target="https://www.grand-est.ars.sante.fr/media/56624/download?in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Arial"/>
        <a:cs typeface="Arial"/>
      </a:majorFont>
      <a:minorFont>
        <a:latin typeface="Aptos"/>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cfd9e41-3761-4a60-ba9d-013f515e990b">
      <Terms xmlns="http://schemas.microsoft.com/office/infopath/2007/PartnerControls"/>
    </lcf76f155ced4ddcb4097134ff3c332f>
    <TaxCatchAll xmlns="8e66c2a5-c1e0-4b43-9484-7c15385a180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A863F65076CE4296CCA0E1D44E2492" ma:contentTypeVersion="12" ma:contentTypeDescription="Crée un document." ma:contentTypeScope="" ma:versionID="045a6fbb53b2780852e4cd97bac4f562">
  <xsd:schema xmlns:xsd="http://www.w3.org/2001/XMLSchema" xmlns:xs="http://www.w3.org/2001/XMLSchema" xmlns:p="http://schemas.microsoft.com/office/2006/metadata/properties" xmlns:ns2="ccfd9e41-3761-4a60-ba9d-013f515e990b" xmlns:ns3="8e66c2a5-c1e0-4b43-9484-7c15385a180a" targetNamespace="http://schemas.microsoft.com/office/2006/metadata/properties" ma:root="true" ma:fieldsID="a73a9482765326030d2a5181a5567fe4" ns2:_="" ns3:_="">
    <xsd:import namespace="ccfd9e41-3761-4a60-ba9d-013f515e990b"/>
    <xsd:import namespace="8e66c2a5-c1e0-4b43-9484-7c15385a180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d9e41-3761-4a60-ba9d-013f515e99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6998982d-6c97-44be-bfba-0ab2115bc4d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66c2a5-c1e0-4b43-9484-7c15385a180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de21335-0948-4ed4-895c-9292ee20b35c}" ma:internalName="TaxCatchAll" ma:showField="CatchAllData" ma:web="8e66c2a5-c1e0-4b43-9484-7c15385a18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E02A96-C1C5-499E-8164-D0262F0DB666}">
  <ds:schemaRefs>
    <ds:schemaRef ds:uri="http://schemas.microsoft.com/sharepoint/v3/contenttype/forms"/>
  </ds:schemaRefs>
</ds:datastoreItem>
</file>

<file path=customXml/itemProps2.xml><?xml version="1.0" encoding="utf-8"?>
<ds:datastoreItem xmlns:ds="http://schemas.openxmlformats.org/officeDocument/2006/customXml" ds:itemID="{895767D9-F882-47C2-9108-B12C23F807A4}">
  <ds:schemaRefs>
    <ds:schemaRef ds:uri="http://schemas.microsoft.com/office/2006/metadata/properties"/>
    <ds:schemaRef ds:uri="http://schemas.microsoft.com/office/infopath/2007/PartnerControls"/>
    <ds:schemaRef ds:uri="ccfd9e41-3761-4a60-ba9d-013f515e990b"/>
    <ds:schemaRef ds:uri="8e66c2a5-c1e0-4b43-9484-7c15385a180a"/>
  </ds:schemaRefs>
</ds:datastoreItem>
</file>

<file path=customXml/itemProps3.xml><?xml version="1.0" encoding="utf-8"?>
<ds:datastoreItem xmlns:ds="http://schemas.openxmlformats.org/officeDocument/2006/customXml" ds:itemID="{B23E84BA-EAD4-4923-867B-3A0AF9A113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d9e41-3761-4a60-ba9d-013f515e990b"/>
    <ds:schemaRef ds:uri="8e66c2a5-c1e0-4b43-9484-7c15385a18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Ehesp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AUTRET, Marie</lastModifiedBy>
  <revision>16</revision>
  <dcterms:created xsi:type="dcterms:W3CDTF">2025-11-05T13:20:00.0000000Z</dcterms:created>
  <dcterms:modified xsi:type="dcterms:W3CDTF">2026-03-18T13:48:01.9782583Z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0x0101001CA863F65076CE4296CCA0E1D44E2492</vt:lpwstr>
  </property>
  <property fmtid="{D5CDD505-2E9C-101B-9397-08002B2CF9AE}" pid="3" name="MediaServiceImageTags">
    <vt:lpwstr/>
  </property>
</Properties>
</file>